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66105" w14:paraId="6FFC4830" w14:textId="77777777">
        <w:tblPrEx>
          <w:tblCellMar>
            <w:top w:w="0" w:type="dxa"/>
            <w:bottom w:w="0" w:type="dxa"/>
          </w:tblCellMar>
        </w:tblPrEx>
        <w:trPr>
          <w:tblCellSpacing w:w="60" w:type="dxa"/>
        </w:trPr>
        <w:tc>
          <w:tcPr>
            <w:tcW w:w="1200" w:type="pct"/>
            <w:shd w:val="clear" w:color="auto" w:fill="E7F0F9"/>
          </w:tcPr>
          <w:p w14:paraId="6321AD51" w14:textId="77777777" w:rsidR="00E66105" w:rsidRDefault="00000000">
            <w:pPr>
              <w:spacing w:after="0" w:line="240" w:lineRule="auto"/>
            </w:pPr>
            <w:r>
              <w:rPr>
                <w:b/>
              </w:rPr>
              <w:t>RKP broj</w:t>
            </w:r>
          </w:p>
        </w:tc>
        <w:tc>
          <w:tcPr>
            <w:tcW w:w="0" w:type="auto"/>
            <w:shd w:val="clear" w:color="auto" w:fill="E7F0F9"/>
          </w:tcPr>
          <w:p w14:paraId="1E02E447" w14:textId="77777777" w:rsidR="00E66105" w:rsidRDefault="00000000">
            <w:pPr>
              <w:spacing w:after="0" w:line="240" w:lineRule="auto"/>
            </w:pPr>
            <w:r>
              <w:t>38315</w:t>
            </w:r>
          </w:p>
        </w:tc>
      </w:tr>
      <w:tr w:rsidR="00E66105" w14:paraId="66D7EA37" w14:textId="77777777">
        <w:tblPrEx>
          <w:tblCellMar>
            <w:top w:w="0" w:type="dxa"/>
            <w:bottom w:w="0" w:type="dxa"/>
          </w:tblCellMar>
        </w:tblPrEx>
        <w:trPr>
          <w:tblCellSpacing w:w="60" w:type="dxa"/>
        </w:trPr>
        <w:tc>
          <w:tcPr>
            <w:tcW w:w="1200" w:type="pct"/>
            <w:shd w:val="clear" w:color="auto" w:fill="E7F0F9"/>
          </w:tcPr>
          <w:p w14:paraId="3C6A55D2" w14:textId="77777777" w:rsidR="00E66105" w:rsidRDefault="00000000">
            <w:pPr>
              <w:spacing w:after="0" w:line="240" w:lineRule="auto"/>
            </w:pPr>
            <w:r>
              <w:rPr>
                <w:b/>
              </w:rPr>
              <w:t>Naziv obveznika</w:t>
            </w:r>
          </w:p>
        </w:tc>
        <w:tc>
          <w:tcPr>
            <w:tcW w:w="0" w:type="auto"/>
            <w:shd w:val="clear" w:color="auto" w:fill="E7F0F9"/>
          </w:tcPr>
          <w:p w14:paraId="566B20D8" w14:textId="77777777" w:rsidR="00E66105" w:rsidRDefault="00000000">
            <w:pPr>
              <w:spacing w:after="0" w:line="240" w:lineRule="auto"/>
            </w:pPr>
            <w:r>
              <w:t>DJEČJI VRTIĆI BUBAMARA - SCUOLE DELL' INFANZIA COCCINELLA</w:t>
            </w:r>
          </w:p>
        </w:tc>
      </w:tr>
      <w:tr w:rsidR="00E66105" w14:paraId="0ABE0D9C" w14:textId="77777777">
        <w:tblPrEx>
          <w:tblCellMar>
            <w:top w:w="0" w:type="dxa"/>
            <w:bottom w:w="0" w:type="dxa"/>
          </w:tblCellMar>
        </w:tblPrEx>
        <w:trPr>
          <w:tblCellSpacing w:w="60" w:type="dxa"/>
        </w:trPr>
        <w:tc>
          <w:tcPr>
            <w:tcW w:w="1200" w:type="pct"/>
            <w:shd w:val="clear" w:color="auto" w:fill="E7F0F9"/>
          </w:tcPr>
          <w:p w14:paraId="04412177" w14:textId="77777777" w:rsidR="00E66105" w:rsidRDefault="00000000">
            <w:pPr>
              <w:spacing w:after="0" w:line="240" w:lineRule="auto"/>
            </w:pPr>
            <w:r>
              <w:rPr>
                <w:b/>
              </w:rPr>
              <w:t>Razina</w:t>
            </w:r>
          </w:p>
        </w:tc>
        <w:tc>
          <w:tcPr>
            <w:tcW w:w="0" w:type="auto"/>
            <w:shd w:val="clear" w:color="auto" w:fill="E7F0F9"/>
          </w:tcPr>
          <w:p w14:paraId="51AD91C5" w14:textId="77777777" w:rsidR="00E66105" w:rsidRDefault="00000000">
            <w:pPr>
              <w:spacing w:after="0" w:line="240" w:lineRule="auto"/>
            </w:pPr>
            <w:r>
              <w:t>21</w:t>
            </w:r>
          </w:p>
        </w:tc>
      </w:tr>
    </w:tbl>
    <w:p w14:paraId="381CC162" w14:textId="77777777" w:rsidR="00E66105" w:rsidRDefault="00000000">
      <w:r>
        <w:br/>
      </w:r>
    </w:p>
    <w:p w14:paraId="4233B0C8" w14:textId="77777777" w:rsidR="00E66105" w:rsidRDefault="00000000">
      <w:pPr>
        <w:spacing w:line="240" w:lineRule="auto"/>
        <w:jc w:val="center"/>
      </w:pPr>
      <w:r>
        <w:rPr>
          <w:b/>
          <w:sz w:val="28"/>
        </w:rPr>
        <w:t>BILJEŠKE UZ FINANCIJSKE IZVJEŠTAJE</w:t>
      </w:r>
    </w:p>
    <w:p w14:paraId="5411BCE0" w14:textId="77777777" w:rsidR="00E66105" w:rsidRDefault="00000000">
      <w:pPr>
        <w:spacing w:line="240" w:lineRule="auto"/>
        <w:jc w:val="center"/>
      </w:pPr>
      <w:r>
        <w:rPr>
          <w:b/>
          <w:sz w:val="28"/>
        </w:rPr>
        <w:t>ZA RAZDOBLJE</w:t>
      </w:r>
    </w:p>
    <w:p w14:paraId="4787BD82" w14:textId="77777777" w:rsidR="00E66105" w:rsidRDefault="00000000">
      <w:pPr>
        <w:spacing w:line="240" w:lineRule="auto"/>
        <w:jc w:val="center"/>
      </w:pPr>
      <w:r>
        <w:rPr>
          <w:b/>
          <w:sz w:val="28"/>
        </w:rPr>
        <w:t>I - XII 2025.</w:t>
      </w:r>
    </w:p>
    <w:p w14:paraId="3D7DFFCA" w14:textId="77777777" w:rsidR="00E66105" w:rsidRDefault="00E66105"/>
    <w:p w14:paraId="25CAC0E0" w14:textId="77777777" w:rsidR="00E66105" w:rsidRDefault="00000000">
      <w:pPr>
        <w:keepNext/>
        <w:spacing w:line="240" w:lineRule="auto"/>
        <w:jc w:val="center"/>
      </w:pPr>
      <w:r>
        <w:rPr>
          <w:b/>
          <w:sz w:val="28"/>
        </w:rPr>
        <w:t>Izvještaj o prihodima i rashodima, primicima i izdacima</w:t>
      </w:r>
    </w:p>
    <w:p w14:paraId="6E5618B4" w14:textId="77777777" w:rsidR="00E6610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33D43D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FEAE98"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7CEB25"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558989"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8A3539"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289297"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8C7E41" w14:textId="77777777" w:rsidR="00E66105" w:rsidRDefault="00000000">
            <w:pPr>
              <w:keepNext/>
              <w:keepLines/>
              <w:spacing w:after="0" w:line="240" w:lineRule="auto"/>
              <w:jc w:val="center"/>
            </w:pPr>
            <w:r>
              <w:rPr>
                <w:b/>
                <w:sz w:val="18"/>
              </w:rPr>
              <w:t>Indeks (%)</w:t>
            </w:r>
          </w:p>
        </w:tc>
      </w:tr>
      <w:tr w:rsidR="00E66105" w14:paraId="4B4EE47E" w14:textId="77777777">
        <w:tblPrEx>
          <w:tblCellMar>
            <w:top w:w="0" w:type="dxa"/>
            <w:bottom w:w="0" w:type="dxa"/>
          </w:tblCellMar>
        </w:tblPrEx>
        <w:trPr>
          <w:cantSplit/>
          <w:trHeight w:val="560"/>
        </w:trPr>
        <w:tc>
          <w:tcPr>
            <w:tcW w:w="700" w:type="dxa"/>
            <w:tcMar>
              <w:top w:w="0" w:type="dxa"/>
              <w:bottom w:w="0" w:type="dxa"/>
            </w:tcMar>
            <w:vAlign w:val="center"/>
          </w:tcPr>
          <w:p w14:paraId="70469408" w14:textId="77777777" w:rsidR="00E66105" w:rsidRDefault="00000000">
            <w:pPr>
              <w:keepNext/>
              <w:keepLines/>
              <w:spacing w:after="0" w:line="240" w:lineRule="auto"/>
            </w:pPr>
            <w:r>
              <w:rPr>
                <w:sz w:val="18"/>
              </w:rPr>
              <w:t>6</w:t>
            </w:r>
          </w:p>
        </w:tc>
        <w:tc>
          <w:tcPr>
            <w:tcW w:w="3180" w:type="dxa"/>
            <w:tcMar>
              <w:top w:w="0" w:type="dxa"/>
              <w:bottom w:w="0" w:type="dxa"/>
            </w:tcMar>
            <w:vAlign w:val="center"/>
          </w:tcPr>
          <w:p w14:paraId="5EA9F1A3" w14:textId="77777777" w:rsidR="00E6610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8A7E86F" w14:textId="77777777" w:rsidR="00E66105" w:rsidRDefault="00000000">
            <w:pPr>
              <w:keepNext/>
              <w:keepLines/>
              <w:spacing w:after="0" w:line="240" w:lineRule="auto"/>
            </w:pPr>
            <w:r>
              <w:rPr>
                <w:sz w:val="18"/>
              </w:rPr>
              <w:t>6</w:t>
            </w:r>
          </w:p>
        </w:tc>
        <w:tc>
          <w:tcPr>
            <w:tcW w:w="1860" w:type="dxa"/>
            <w:tcMar>
              <w:top w:w="0" w:type="dxa"/>
              <w:bottom w:w="0" w:type="dxa"/>
            </w:tcMar>
            <w:vAlign w:val="center"/>
          </w:tcPr>
          <w:p w14:paraId="1C8CCB95" w14:textId="77777777" w:rsidR="00E66105" w:rsidRDefault="00000000">
            <w:pPr>
              <w:keepNext/>
              <w:keepLines/>
              <w:spacing w:after="0" w:line="240" w:lineRule="auto"/>
              <w:jc w:val="right"/>
            </w:pPr>
            <w:r>
              <w:rPr>
                <w:sz w:val="18"/>
              </w:rPr>
              <w:t>462.923,56</w:t>
            </w:r>
          </w:p>
        </w:tc>
        <w:tc>
          <w:tcPr>
            <w:tcW w:w="1860" w:type="dxa"/>
            <w:tcMar>
              <w:top w:w="0" w:type="dxa"/>
              <w:bottom w:w="0" w:type="dxa"/>
            </w:tcMar>
            <w:vAlign w:val="center"/>
          </w:tcPr>
          <w:p w14:paraId="606AE420" w14:textId="77777777" w:rsidR="00E66105" w:rsidRDefault="00000000">
            <w:pPr>
              <w:keepNext/>
              <w:keepLines/>
              <w:spacing w:after="0" w:line="240" w:lineRule="auto"/>
              <w:jc w:val="right"/>
            </w:pPr>
            <w:r>
              <w:rPr>
                <w:sz w:val="18"/>
              </w:rPr>
              <w:t>577.849,96</w:t>
            </w:r>
          </w:p>
        </w:tc>
        <w:tc>
          <w:tcPr>
            <w:tcW w:w="700" w:type="dxa"/>
            <w:tcMar>
              <w:top w:w="0" w:type="dxa"/>
              <w:bottom w:w="0" w:type="dxa"/>
            </w:tcMar>
            <w:vAlign w:val="center"/>
          </w:tcPr>
          <w:p w14:paraId="7FBE8706" w14:textId="77777777" w:rsidR="00E66105" w:rsidRDefault="00000000">
            <w:pPr>
              <w:keepNext/>
              <w:keepLines/>
              <w:spacing w:after="0" w:line="240" w:lineRule="auto"/>
              <w:jc w:val="right"/>
            </w:pPr>
            <w:r>
              <w:rPr>
                <w:sz w:val="18"/>
              </w:rPr>
              <w:t>124,8</w:t>
            </w:r>
          </w:p>
        </w:tc>
      </w:tr>
      <w:tr w:rsidR="00E66105" w14:paraId="5376A9B2" w14:textId="77777777">
        <w:tblPrEx>
          <w:tblCellMar>
            <w:top w:w="0" w:type="dxa"/>
            <w:bottom w:w="0" w:type="dxa"/>
          </w:tblCellMar>
        </w:tblPrEx>
        <w:trPr>
          <w:cantSplit/>
          <w:trHeight w:val="560"/>
        </w:trPr>
        <w:tc>
          <w:tcPr>
            <w:tcW w:w="700" w:type="dxa"/>
            <w:tcMar>
              <w:top w:w="0" w:type="dxa"/>
              <w:bottom w:w="0" w:type="dxa"/>
            </w:tcMar>
            <w:vAlign w:val="center"/>
          </w:tcPr>
          <w:p w14:paraId="2CA0A498" w14:textId="77777777" w:rsidR="00E66105" w:rsidRDefault="00000000">
            <w:pPr>
              <w:keepNext/>
              <w:keepLines/>
              <w:spacing w:after="0" w:line="240" w:lineRule="auto"/>
            </w:pPr>
            <w:r>
              <w:rPr>
                <w:sz w:val="18"/>
              </w:rPr>
              <w:t>3</w:t>
            </w:r>
          </w:p>
        </w:tc>
        <w:tc>
          <w:tcPr>
            <w:tcW w:w="3180" w:type="dxa"/>
            <w:tcMar>
              <w:top w:w="0" w:type="dxa"/>
              <w:bottom w:w="0" w:type="dxa"/>
            </w:tcMar>
            <w:vAlign w:val="center"/>
          </w:tcPr>
          <w:p w14:paraId="29D7277F" w14:textId="77777777" w:rsidR="00E6610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E130988" w14:textId="77777777" w:rsidR="00E66105" w:rsidRDefault="00000000">
            <w:pPr>
              <w:keepNext/>
              <w:keepLines/>
              <w:spacing w:after="0" w:line="240" w:lineRule="auto"/>
            </w:pPr>
            <w:r>
              <w:rPr>
                <w:sz w:val="18"/>
              </w:rPr>
              <w:t>3</w:t>
            </w:r>
          </w:p>
        </w:tc>
        <w:tc>
          <w:tcPr>
            <w:tcW w:w="1860" w:type="dxa"/>
            <w:tcMar>
              <w:top w:w="0" w:type="dxa"/>
              <w:bottom w:w="0" w:type="dxa"/>
            </w:tcMar>
            <w:vAlign w:val="center"/>
          </w:tcPr>
          <w:p w14:paraId="7B616A70" w14:textId="77777777" w:rsidR="00E66105" w:rsidRDefault="00000000">
            <w:pPr>
              <w:keepNext/>
              <w:keepLines/>
              <w:spacing w:after="0" w:line="240" w:lineRule="auto"/>
              <w:jc w:val="right"/>
            </w:pPr>
            <w:r>
              <w:rPr>
                <w:sz w:val="18"/>
              </w:rPr>
              <w:t>458.938,99</w:t>
            </w:r>
          </w:p>
        </w:tc>
        <w:tc>
          <w:tcPr>
            <w:tcW w:w="1860" w:type="dxa"/>
            <w:tcMar>
              <w:top w:w="0" w:type="dxa"/>
              <w:bottom w:w="0" w:type="dxa"/>
            </w:tcMar>
            <w:vAlign w:val="center"/>
          </w:tcPr>
          <w:p w14:paraId="633D4831" w14:textId="77777777" w:rsidR="00E66105" w:rsidRDefault="00000000">
            <w:pPr>
              <w:keepNext/>
              <w:keepLines/>
              <w:spacing w:after="0" w:line="240" w:lineRule="auto"/>
              <w:jc w:val="right"/>
            </w:pPr>
            <w:r>
              <w:rPr>
                <w:sz w:val="18"/>
              </w:rPr>
              <w:t>568.803,60</w:t>
            </w:r>
          </w:p>
        </w:tc>
        <w:tc>
          <w:tcPr>
            <w:tcW w:w="700" w:type="dxa"/>
            <w:tcMar>
              <w:top w:w="0" w:type="dxa"/>
              <w:bottom w:w="0" w:type="dxa"/>
            </w:tcMar>
            <w:vAlign w:val="center"/>
          </w:tcPr>
          <w:p w14:paraId="4107633B" w14:textId="77777777" w:rsidR="00E66105" w:rsidRDefault="00000000">
            <w:pPr>
              <w:keepNext/>
              <w:keepLines/>
              <w:spacing w:after="0" w:line="240" w:lineRule="auto"/>
              <w:jc w:val="right"/>
            </w:pPr>
            <w:r>
              <w:rPr>
                <w:sz w:val="18"/>
              </w:rPr>
              <w:t>123,9</w:t>
            </w:r>
          </w:p>
        </w:tc>
      </w:tr>
      <w:tr w:rsidR="00E66105" w14:paraId="3BC36AB0" w14:textId="77777777">
        <w:tblPrEx>
          <w:tblCellMar>
            <w:top w:w="0" w:type="dxa"/>
            <w:bottom w:w="0" w:type="dxa"/>
          </w:tblCellMar>
        </w:tblPrEx>
        <w:trPr>
          <w:cantSplit/>
          <w:trHeight w:val="560"/>
        </w:trPr>
        <w:tc>
          <w:tcPr>
            <w:tcW w:w="700" w:type="dxa"/>
            <w:tcMar>
              <w:top w:w="0" w:type="dxa"/>
              <w:bottom w:w="0" w:type="dxa"/>
            </w:tcMar>
            <w:vAlign w:val="center"/>
          </w:tcPr>
          <w:p w14:paraId="0A58F4A6" w14:textId="77777777" w:rsidR="00E66105" w:rsidRDefault="00E66105">
            <w:pPr>
              <w:keepNext/>
              <w:keepLines/>
              <w:spacing w:after="0" w:line="240" w:lineRule="auto"/>
            </w:pPr>
          </w:p>
        </w:tc>
        <w:tc>
          <w:tcPr>
            <w:tcW w:w="3180" w:type="dxa"/>
            <w:tcMar>
              <w:top w:w="0" w:type="dxa"/>
              <w:bottom w:w="0" w:type="dxa"/>
            </w:tcMar>
            <w:vAlign w:val="center"/>
          </w:tcPr>
          <w:p w14:paraId="11AE35C3" w14:textId="77777777" w:rsidR="00E6610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35128D1" w14:textId="77777777" w:rsidR="00E66105" w:rsidRDefault="00000000">
            <w:pPr>
              <w:keepNext/>
              <w:keepLines/>
              <w:spacing w:after="0" w:line="240" w:lineRule="auto"/>
            </w:pPr>
            <w:r>
              <w:rPr>
                <w:b/>
                <w:sz w:val="18"/>
              </w:rPr>
              <w:t>X001</w:t>
            </w:r>
          </w:p>
        </w:tc>
        <w:tc>
          <w:tcPr>
            <w:tcW w:w="1860" w:type="dxa"/>
            <w:tcMar>
              <w:top w:w="0" w:type="dxa"/>
              <w:bottom w:w="0" w:type="dxa"/>
            </w:tcMar>
            <w:vAlign w:val="center"/>
          </w:tcPr>
          <w:p w14:paraId="3B97D5DC" w14:textId="77777777" w:rsidR="00E66105" w:rsidRDefault="00000000">
            <w:pPr>
              <w:keepNext/>
              <w:keepLines/>
              <w:spacing w:after="0" w:line="240" w:lineRule="auto"/>
              <w:jc w:val="right"/>
            </w:pPr>
            <w:r>
              <w:rPr>
                <w:b/>
                <w:sz w:val="18"/>
              </w:rPr>
              <w:t>3.984,57</w:t>
            </w:r>
          </w:p>
        </w:tc>
        <w:tc>
          <w:tcPr>
            <w:tcW w:w="1860" w:type="dxa"/>
            <w:tcMar>
              <w:top w:w="0" w:type="dxa"/>
              <w:bottom w:w="0" w:type="dxa"/>
            </w:tcMar>
            <w:vAlign w:val="center"/>
          </w:tcPr>
          <w:p w14:paraId="4AF41D08" w14:textId="77777777" w:rsidR="00E66105" w:rsidRDefault="00000000">
            <w:pPr>
              <w:keepNext/>
              <w:keepLines/>
              <w:spacing w:after="0" w:line="240" w:lineRule="auto"/>
              <w:jc w:val="right"/>
            </w:pPr>
            <w:r>
              <w:rPr>
                <w:b/>
                <w:sz w:val="18"/>
              </w:rPr>
              <w:t>9.046,36</w:t>
            </w:r>
          </w:p>
        </w:tc>
        <w:tc>
          <w:tcPr>
            <w:tcW w:w="700" w:type="dxa"/>
            <w:tcMar>
              <w:top w:w="0" w:type="dxa"/>
              <w:bottom w:w="0" w:type="dxa"/>
            </w:tcMar>
            <w:vAlign w:val="center"/>
          </w:tcPr>
          <w:p w14:paraId="120A9A05" w14:textId="77777777" w:rsidR="00E66105" w:rsidRDefault="00000000">
            <w:pPr>
              <w:keepNext/>
              <w:keepLines/>
              <w:spacing w:after="0" w:line="240" w:lineRule="auto"/>
              <w:jc w:val="right"/>
            </w:pPr>
            <w:r>
              <w:rPr>
                <w:b/>
                <w:sz w:val="18"/>
              </w:rPr>
              <w:t>227,0</w:t>
            </w:r>
          </w:p>
        </w:tc>
      </w:tr>
      <w:tr w:rsidR="00E66105" w14:paraId="52224419" w14:textId="77777777">
        <w:tblPrEx>
          <w:tblCellMar>
            <w:top w:w="0" w:type="dxa"/>
            <w:bottom w:w="0" w:type="dxa"/>
          </w:tblCellMar>
        </w:tblPrEx>
        <w:trPr>
          <w:cantSplit/>
          <w:trHeight w:val="560"/>
        </w:trPr>
        <w:tc>
          <w:tcPr>
            <w:tcW w:w="700" w:type="dxa"/>
            <w:tcMar>
              <w:top w:w="0" w:type="dxa"/>
              <w:bottom w:w="0" w:type="dxa"/>
            </w:tcMar>
            <w:vAlign w:val="center"/>
          </w:tcPr>
          <w:p w14:paraId="52E0B69B" w14:textId="77777777" w:rsidR="00E66105" w:rsidRDefault="00000000">
            <w:pPr>
              <w:keepNext/>
              <w:keepLines/>
              <w:spacing w:after="0" w:line="240" w:lineRule="auto"/>
            </w:pPr>
            <w:r>
              <w:rPr>
                <w:sz w:val="18"/>
              </w:rPr>
              <w:t>7</w:t>
            </w:r>
          </w:p>
        </w:tc>
        <w:tc>
          <w:tcPr>
            <w:tcW w:w="3180" w:type="dxa"/>
            <w:tcMar>
              <w:top w:w="0" w:type="dxa"/>
              <w:bottom w:w="0" w:type="dxa"/>
            </w:tcMar>
            <w:vAlign w:val="center"/>
          </w:tcPr>
          <w:p w14:paraId="11CA3BE4" w14:textId="77777777" w:rsidR="00E6610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6685CAB" w14:textId="77777777" w:rsidR="00E66105" w:rsidRDefault="00000000">
            <w:pPr>
              <w:keepNext/>
              <w:keepLines/>
              <w:spacing w:after="0" w:line="240" w:lineRule="auto"/>
            </w:pPr>
            <w:r>
              <w:rPr>
                <w:sz w:val="18"/>
              </w:rPr>
              <w:t>7</w:t>
            </w:r>
          </w:p>
        </w:tc>
        <w:tc>
          <w:tcPr>
            <w:tcW w:w="1860" w:type="dxa"/>
            <w:tcMar>
              <w:top w:w="0" w:type="dxa"/>
              <w:bottom w:w="0" w:type="dxa"/>
            </w:tcMar>
            <w:vAlign w:val="center"/>
          </w:tcPr>
          <w:p w14:paraId="3CB7C07F" w14:textId="77777777" w:rsidR="00E66105" w:rsidRDefault="00000000">
            <w:pPr>
              <w:keepNext/>
              <w:keepLines/>
              <w:spacing w:after="0" w:line="240" w:lineRule="auto"/>
              <w:jc w:val="right"/>
            </w:pPr>
            <w:r>
              <w:rPr>
                <w:sz w:val="18"/>
              </w:rPr>
              <w:t>0,00</w:t>
            </w:r>
          </w:p>
        </w:tc>
        <w:tc>
          <w:tcPr>
            <w:tcW w:w="1860" w:type="dxa"/>
            <w:tcMar>
              <w:top w:w="0" w:type="dxa"/>
              <w:bottom w:w="0" w:type="dxa"/>
            </w:tcMar>
            <w:vAlign w:val="center"/>
          </w:tcPr>
          <w:p w14:paraId="7060A0B3" w14:textId="77777777" w:rsidR="00E66105" w:rsidRDefault="00000000">
            <w:pPr>
              <w:keepNext/>
              <w:keepLines/>
              <w:spacing w:after="0" w:line="240" w:lineRule="auto"/>
              <w:jc w:val="right"/>
            </w:pPr>
            <w:r>
              <w:rPr>
                <w:sz w:val="18"/>
              </w:rPr>
              <w:t>0,00</w:t>
            </w:r>
          </w:p>
        </w:tc>
        <w:tc>
          <w:tcPr>
            <w:tcW w:w="700" w:type="dxa"/>
            <w:tcMar>
              <w:top w:w="0" w:type="dxa"/>
              <w:bottom w:w="0" w:type="dxa"/>
            </w:tcMar>
            <w:vAlign w:val="center"/>
          </w:tcPr>
          <w:p w14:paraId="4601E7B1" w14:textId="77777777" w:rsidR="00E66105" w:rsidRDefault="00000000">
            <w:pPr>
              <w:keepNext/>
              <w:keepLines/>
              <w:spacing w:after="0" w:line="240" w:lineRule="auto"/>
              <w:jc w:val="right"/>
            </w:pPr>
            <w:r>
              <w:rPr>
                <w:sz w:val="18"/>
              </w:rPr>
              <w:t>-</w:t>
            </w:r>
          </w:p>
        </w:tc>
      </w:tr>
      <w:tr w:rsidR="00E66105" w14:paraId="722EF496" w14:textId="77777777">
        <w:tblPrEx>
          <w:tblCellMar>
            <w:top w:w="0" w:type="dxa"/>
            <w:bottom w:w="0" w:type="dxa"/>
          </w:tblCellMar>
        </w:tblPrEx>
        <w:trPr>
          <w:cantSplit/>
          <w:trHeight w:val="560"/>
        </w:trPr>
        <w:tc>
          <w:tcPr>
            <w:tcW w:w="700" w:type="dxa"/>
            <w:tcMar>
              <w:top w:w="0" w:type="dxa"/>
              <w:bottom w:w="0" w:type="dxa"/>
            </w:tcMar>
            <w:vAlign w:val="center"/>
          </w:tcPr>
          <w:p w14:paraId="079B41E9" w14:textId="77777777" w:rsidR="00E66105" w:rsidRDefault="00000000">
            <w:pPr>
              <w:keepNext/>
              <w:keepLines/>
              <w:spacing w:after="0" w:line="240" w:lineRule="auto"/>
            </w:pPr>
            <w:r>
              <w:rPr>
                <w:sz w:val="18"/>
              </w:rPr>
              <w:t>4</w:t>
            </w:r>
          </w:p>
        </w:tc>
        <w:tc>
          <w:tcPr>
            <w:tcW w:w="3180" w:type="dxa"/>
            <w:tcMar>
              <w:top w:w="0" w:type="dxa"/>
              <w:bottom w:w="0" w:type="dxa"/>
            </w:tcMar>
            <w:vAlign w:val="center"/>
          </w:tcPr>
          <w:p w14:paraId="6A3C3E6A" w14:textId="77777777" w:rsidR="00E6610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433603F" w14:textId="77777777" w:rsidR="00E66105" w:rsidRDefault="00000000">
            <w:pPr>
              <w:keepNext/>
              <w:keepLines/>
              <w:spacing w:after="0" w:line="240" w:lineRule="auto"/>
            </w:pPr>
            <w:r>
              <w:rPr>
                <w:sz w:val="18"/>
              </w:rPr>
              <w:t>4</w:t>
            </w:r>
          </w:p>
        </w:tc>
        <w:tc>
          <w:tcPr>
            <w:tcW w:w="1860" w:type="dxa"/>
            <w:tcMar>
              <w:top w:w="0" w:type="dxa"/>
              <w:bottom w:w="0" w:type="dxa"/>
            </w:tcMar>
            <w:vAlign w:val="center"/>
          </w:tcPr>
          <w:p w14:paraId="62000E67" w14:textId="77777777" w:rsidR="00E66105" w:rsidRDefault="00000000">
            <w:pPr>
              <w:keepNext/>
              <w:keepLines/>
              <w:spacing w:after="0" w:line="240" w:lineRule="auto"/>
              <w:jc w:val="right"/>
            </w:pPr>
            <w:r>
              <w:rPr>
                <w:sz w:val="18"/>
              </w:rPr>
              <w:t>2.125,00</w:t>
            </w:r>
          </w:p>
        </w:tc>
        <w:tc>
          <w:tcPr>
            <w:tcW w:w="1860" w:type="dxa"/>
            <w:tcMar>
              <w:top w:w="0" w:type="dxa"/>
              <w:bottom w:w="0" w:type="dxa"/>
            </w:tcMar>
            <w:vAlign w:val="center"/>
          </w:tcPr>
          <w:p w14:paraId="37356421" w14:textId="77777777" w:rsidR="00E66105" w:rsidRDefault="00000000">
            <w:pPr>
              <w:keepNext/>
              <w:keepLines/>
              <w:spacing w:after="0" w:line="240" w:lineRule="auto"/>
              <w:jc w:val="right"/>
            </w:pPr>
            <w:r>
              <w:rPr>
                <w:sz w:val="18"/>
              </w:rPr>
              <w:t>0,00</w:t>
            </w:r>
          </w:p>
        </w:tc>
        <w:tc>
          <w:tcPr>
            <w:tcW w:w="700" w:type="dxa"/>
            <w:tcMar>
              <w:top w:w="0" w:type="dxa"/>
              <w:bottom w:w="0" w:type="dxa"/>
            </w:tcMar>
            <w:vAlign w:val="center"/>
          </w:tcPr>
          <w:p w14:paraId="164F103F" w14:textId="77777777" w:rsidR="00E66105" w:rsidRDefault="00000000">
            <w:pPr>
              <w:keepNext/>
              <w:keepLines/>
              <w:spacing w:after="0" w:line="240" w:lineRule="auto"/>
              <w:jc w:val="right"/>
            </w:pPr>
            <w:r>
              <w:rPr>
                <w:sz w:val="18"/>
              </w:rPr>
              <w:t>0</w:t>
            </w:r>
          </w:p>
        </w:tc>
      </w:tr>
      <w:tr w:rsidR="00E66105" w14:paraId="724835B5" w14:textId="77777777">
        <w:tblPrEx>
          <w:tblCellMar>
            <w:top w:w="0" w:type="dxa"/>
            <w:bottom w:w="0" w:type="dxa"/>
          </w:tblCellMar>
        </w:tblPrEx>
        <w:trPr>
          <w:cantSplit/>
          <w:trHeight w:val="560"/>
        </w:trPr>
        <w:tc>
          <w:tcPr>
            <w:tcW w:w="700" w:type="dxa"/>
            <w:tcMar>
              <w:top w:w="0" w:type="dxa"/>
              <w:bottom w:w="0" w:type="dxa"/>
            </w:tcMar>
            <w:vAlign w:val="center"/>
          </w:tcPr>
          <w:p w14:paraId="0E6A0513" w14:textId="77777777" w:rsidR="00E66105" w:rsidRDefault="00E66105">
            <w:pPr>
              <w:keepNext/>
              <w:keepLines/>
              <w:spacing w:after="0" w:line="240" w:lineRule="auto"/>
            </w:pPr>
          </w:p>
        </w:tc>
        <w:tc>
          <w:tcPr>
            <w:tcW w:w="3180" w:type="dxa"/>
            <w:tcMar>
              <w:top w:w="0" w:type="dxa"/>
              <w:bottom w:w="0" w:type="dxa"/>
            </w:tcMar>
            <w:vAlign w:val="center"/>
          </w:tcPr>
          <w:p w14:paraId="145150A5" w14:textId="77777777" w:rsidR="00E66105" w:rsidRDefault="0000000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0E8F79E6" w14:textId="77777777" w:rsidR="00E66105" w:rsidRDefault="00000000">
            <w:pPr>
              <w:keepNext/>
              <w:keepLines/>
              <w:spacing w:after="0" w:line="240" w:lineRule="auto"/>
            </w:pPr>
            <w:r>
              <w:rPr>
                <w:b/>
                <w:sz w:val="18"/>
              </w:rPr>
              <w:t>X002, Y002</w:t>
            </w:r>
          </w:p>
        </w:tc>
        <w:tc>
          <w:tcPr>
            <w:tcW w:w="1860" w:type="dxa"/>
            <w:tcMar>
              <w:top w:w="0" w:type="dxa"/>
              <w:bottom w:w="0" w:type="dxa"/>
            </w:tcMar>
            <w:vAlign w:val="center"/>
          </w:tcPr>
          <w:p w14:paraId="3144299F" w14:textId="77777777" w:rsidR="00E66105" w:rsidRDefault="00000000">
            <w:pPr>
              <w:keepNext/>
              <w:keepLines/>
              <w:spacing w:after="0" w:line="240" w:lineRule="auto"/>
              <w:jc w:val="right"/>
            </w:pPr>
            <w:r>
              <w:rPr>
                <w:b/>
                <w:sz w:val="18"/>
              </w:rPr>
              <w:t>2.125,00</w:t>
            </w:r>
          </w:p>
        </w:tc>
        <w:tc>
          <w:tcPr>
            <w:tcW w:w="1860" w:type="dxa"/>
            <w:tcMar>
              <w:top w:w="0" w:type="dxa"/>
              <w:bottom w:w="0" w:type="dxa"/>
            </w:tcMar>
            <w:vAlign w:val="center"/>
          </w:tcPr>
          <w:p w14:paraId="1EFD9407" w14:textId="77777777" w:rsidR="00E66105" w:rsidRDefault="00000000">
            <w:pPr>
              <w:keepNext/>
              <w:keepLines/>
              <w:spacing w:after="0" w:line="240" w:lineRule="auto"/>
              <w:jc w:val="right"/>
            </w:pPr>
            <w:r>
              <w:rPr>
                <w:b/>
                <w:sz w:val="18"/>
              </w:rPr>
              <w:t>0,00</w:t>
            </w:r>
          </w:p>
        </w:tc>
        <w:tc>
          <w:tcPr>
            <w:tcW w:w="700" w:type="dxa"/>
            <w:tcMar>
              <w:top w:w="0" w:type="dxa"/>
              <w:bottom w:w="0" w:type="dxa"/>
            </w:tcMar>
            <w:vAlign w:val="center"/>
          </w:tcPr>
          <w:p w14:paraId="01248D2A" w14:textId="77777777" w:rsidR="00E66105" w:rsidRDefault="00000000">
            <w:pPr>
              <w:keepNext/>
              <w:keepLines/>
              <w:spacing w:after="0" w:line="240" w:lineRule="auto"/>
              <w:jc w:val="right"/>
            </w:pPr>
            <w:r>
              <w:rPr>
                <w:b/>
                <w:sz w:val="18"/>
              </w:rPr>
              <w:t>0</w:t>
            </w:r>
          </w:p>
        </w:tc>
      </w:tr>
      <w:tr w:rsidR="00E66105" w14:paraId="506869AD" w14:textId="77777777">
        <w:tblPrEx>
          <w:tblCellMar>
            <w:top w:w="0" w:type="dxa"/>
            <w:bottom w:w="0" w:type="dxa"/>
          </w:tblCellMar>
        </w:tblPrEx>
        <w:trPr>
          <w:cantSplit/>
          <w:trHeight w:val="560"/>
        </w:trPr>
        <w:tc>
          <w:tcPr>
            <w:tcW w:w="700" w:type="dxa"/>
            <w:tcMar>
              <w:top w:w="0" w:type="dxa"/>
              <w:bottom w:w="0" w:type="dxa"/>
            </w:tcMar>
            <w:vAlign w:val="center"/>
          </w:tcPr>
          <w:p w14:paraId="57415C76" w14:textId="77777777" w:rsidR="00E66105" w:rsidRDefault="00000000">
            <w:pPr>
              <w:keepNext/>
              <w:keepLines/>
              <w:spacing w:after="0" w:line="240" w:lineRule="auto"/>
            </w:pPr>
            <w:r>
              <w:rPr>
                <w:sz w:val="18"/>
              </w:rPr>
              <w:t>8</w:t>
            </w:r>
          </w:p>
        </w:tc>
        <w:tc>
          <w:tcPr>
            <w:tcW w:w="3180" w:type="dxa"/>
            <w:tcMar>
              <w:top w:w="0" w:type="dxa"/>
              <w:bottom w:w="0" w:type="dxa"/>
            </w:tcMar>
            <w:vAlign w:val="center"/>
          </w:tcPr>
          <w:p w14:paraId="0184FC0E" w14:textId="77777777" w:rsidR="00E6610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5C648C0" w14:textId="77777777" w:rsidR="00E66105" w:rsidRDefault="00000000">
            <w:pPr>
              <w:keepNext/>
              <w:keepLines/>
              <w:spacing w:after="0" w:line="240" w:lineRule="auto"/>
            </w:pPr>
            <w:r>
              <w:rPr>
                <w:sz w:val="18"/>
              </w:rPr>
              <w:t>8</w:t>
            </w:r>
          </w:p>
        </w:tc>
        <w:tc>
          <w:tcPr>
            <w:tcW w:w="1860" w:type="dxa"/>
            <w:tcMar>
              <w:top w:w="0" w:type="dxa"/>
              <w:bottom w:w="0" w:type="dxa"/>
            </w:tcMar>
            <w:vAlign w:val="center"/>
          </w:tcPr>
          <w:p w14:paraId="02E1D947" w14:textId="77777777" w:rsidR="00E66105" w:rsidRDefault="00000000">
            <w:pPr>
              <w:keepNext/>
              <w:keepLines/>
              <w:spacing w:after="0" w:line="240" w:lineRule="auto"/>
              <w:jc w:val="right"/>
            </w:pPr>
            <w:r>
              <w:rPr>
                <w:sz w:val="18"/>
              </w:rPr>
              <w:t>0,00</w:t>
            </w:r>
          </w:p>
        </w:tc>
        <w:tc>
          <w:tcPr>
            <w:tcW w:w="1860" w:type="dxa"/>
            <w:tcMar>
              <w:top w:w="0" w:type="dxa"/>
              <w:bottom w:w="0" w:type="dxa"/>
            </w:tcMar>
            <w:vAlign w:val="center"/>
          </w:tcPr>
          <w:p w14:paraId="2D592A79" w14:textId="77777777" w:rsidR="00E66105" w:rsidRDefault="00000000">
            <w:pPr>
              <w:keepNext/>
              <w:keepLines/>
              <w:spacing w:after="0" w:line="240" w:lineRule="auto"/>
              <w:jc w:val="right"/>
            </w:pPr>
            <w:r>
              <w:rPr>
                <w:sz w:val="18"/>
              </w:rPr>
              <w:t>0,00</w:t>
            </w:r>
          </w:p>
        </w:tc>
        <w:tc>
          <w:tcPr>
            <w:tcW w:w="700" w:type="dxa"/>
            <w:tcMar>
              <w:top w:w="0" w:type="dxa"/>
              <w:bottom w:w="0" w:type="dxa"/>
            </w:tcMar>
            <w:vAlign w:val="center"/>
          </w:tcPr>
          <w:p w14:paraId="50BF27D8" w14:textId="77777777" w:rsidR="00E66105" w:rsidRDefault="00000000">
            <w:pPr>
              <w:keepNext/>
              <w:keepLines/>
              <w:spacing w:after="0" w:line="240" w:lineRule="auto"/>
              <w:jc w:val="right"/>
            </w:pPr>
            <w:r>
              <w:rPr>
                <w:sz w:val="18"/>
              </w:rPr>
              <w:t>-</w:t>
            </w:r>
          </w:p>
        </w:tc>
      </w:tr>
      <w:tr w:rsidR="00E66105" w14:paraId="63DCFE38" w14:textId="77777777">
        <w:tblPrEx>
          <w:tblCellMar>
            <w:top w:w="0" w:type="dxa"/>
            <w:bottom w:w="0" w:type="dxa"/>
          </w:tblCellMar>
        </w:tblPrEx>
        <w:trPr>
          <w:cantSplit/>
          <w:trHeight w:val="560"/>
        </w:trPr>
        <w:tc>
          <w:tcPr>
            <w:tcW w:w="700" w:type="dxa"/>
            <w:tcMar>
              <w:top w:w="0" w:type="dxa"/>
              <w:bottom w:w="0" w:type="dxa"/>
            </w:tcMar>
            <w:vAlign w:val="center"/>
          </w:tcPr>
          <w:p w14:paraId="50AAF461" w14:textId="77777777" w:rsidR="00E66105" w:rsidRDefault="00000000">
            <w:pPr>
              <w:keepNext/>
              <w:keepLines/>
              <w:spacing w:after="0" w:line="240" w:lineRule="auto"/>
            </w:pPr>
            <w:r>
              <w:rPr>
                <w:sz w:val="18"/>
              </w:rPr>
              <w:t>5</w:t>
            </w:r>
          </w:p>
        </w:tc>
        <w:tc>
          <w:tcPr>
            <w:tcW w:w="3180" w:type="dxa"/>
            <w:tcMar>
              <w:top w:w="0" w:type="dxa"/>
              <w:bottom w:w="0" w:type="dxa"/>
            </w:tcMar>
            <w:vAlign w:val="center"/>
          </w:tcPr>
          <w:p w14:paraId="496E019B" w14:textId="77777777" w:rsidR="00E6610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C408561" w14:textId="77777777" w:rsidR="00E66105" w:rsidRDefault="00000000">
            <w:pPr>
              <w:keepNext/>
              <w:keepLines/>
              <w:spacing w:after="0" w:line="240" w:lineRule="auto"/>
            </w:pPr>
            <w:r>
              <w:rPr>
                <w:sz w:val="18"/>
              </w:rPr>
              <w:t>5</w:t>
            </w:r>
          </w:p>
        </w:tc>
        <w:tc>
          <w:tcPr>
            <w:tcW w:w="1860" w:type="dxa"/>
            <w:tcMar>
              <w:top w:w="0" w:type="dxa"/>
              <w:bottom w:w="0" w:type="dxa"/>
            </w:tcMar>
            <w:vAlign w:val="center"/>
          </w:tcPr>
          <w:p w14:paraId="7249AD8E" w14:textId="77777777" w:rsidR="00E66105" w:rsidRDefault="00000000">
            <w:pPr>
              <w:keepNext/>
              <w:keepLines/>
              <w:spacing w:after="0" w:line="240" w:lineRule="auto"/>
              <w:jc w:val="right"/>
            </w:pPr>
            <w:r>
              <w:rPr>
                <w:sz w:val="18"/>
              </w:rPr>
              <w:t>0,00</w:t>
            </w:r>
          </w:p>
        </w:tc>
        <w:tc>
          <w:tcPr>
            <w:tcW w:w="1860" w:type="dxa"/>
            <w:tcMar>
              <w:top w:w="0" w:type="dxa"/>
              <w:bottom w:w="0" w:type="dxa"/>
            </w:tcMar>
            <w:vAlign w:val="center"/>
          </w:tcPr>
          <w:p w14:paraId="0F942031" w14:textId="77777777" w:rsidR="00E66105" w:rsidRDefault="00000000">
            <w:pPr>
              <w:keepNext/>
              <w:keepLines/>
              <w:spacing w:after="0" w:line="240" w:lineRule="auto"/>
              <w:jc w:val="right"/>
            </w:pPr>
            <w:r>
              <w:rPr>
                <w:sz w:val="18"/>
              </w:rPr>
              <w:t>0,00</w:t>
            </w:r>
          </w:p>
        </w:tc>
        <w:tc>
          <w:tcPr>
            <w:tcW w:w="700" w:type="dxa"/>
            <w:tcMar>
              <w:top w:w="0" w:type="dxa"/>
              <w:bottom w:w="0" w:type="dxa"/>
            </w:tcMar>
            <w:vAlign w:val="center"/>
          </w:tcPr>
          <w:p w14:paraId="40A3B82A" w14:textId="77777777" w:rsidR="00E66105" w:rsidRDefault="00000000">
            <w:pPr>
              <w:keepNext/>
              <w:keepLines/>
              <w:spacing w:after="0" w:line="240" w:lineRule="auto"/>
              <w:jc w:val="right"/>
            </w:pPr>
            <w:r>
              <w:rPr>
                <w:sz w:val="18"/>
              </w:rPr>
              <w:t>-</w:t>
            </w:r>
          </w:p>
        </w:tc>
      </w:tr>
      <w:tr w:rsidR="00E66105" w14:paraId="3099A92D" w14:textId="77777777">
        <w:tblPrEx>
          <w:tblCellMar>
            <w:top w:w="0" w:type="dxa"/>
            <w:bottom w:w="0" w:type="dxa"/>
          </w:tblCellMar>
        </w:tblPrEx>
        <w:trPr>
          <w:cantSplit/>
          <w:trHeight w:val="560"/>
        </w:trPr>
        <w:tc>
          <w:tcPr>
            <w:tcW w:w="700" w:type="dxa"/>
            <w:tcMar>
              <w:top w:w="0" w:type="dxa"/>
              <w:bottom w:w="0" w:type="dxa"/>
            </w:tcMar>
            <w:vAlign w:val="center"/>
          </w:tcPr>
          <w:p w14:paraId="301197D1" w14:textId="77777777" w:rsidR="00E66105" w:rsidRDefault="00E66105">
            <w:pPr>
              <w:keepNext/>
              <w:keepLines/>
              <w:spacing w:after="0" w:line="240" w:lineRule="auto"/>
            </w:pPr>
          </w:p>
        </w:tc>
        <w:tc>
          <w:tcPr>
            <w:tcW w:w="3180" w:type="dxa"/>
            <w:tcMar>
              <w:top w:w="0" w:type="dxa"/>
              <w:bottom w:w="0" w:type="dxa"/>
            </w:tcMar>
            <w:vAlign w:val="center"/>
          </w:tcPr>
          <w:p w14:paraId="2DF9EEDD" w14:textId="77777777" w:rsidR="00E66105"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84D6821" w14:textId="77777777" w:rsidR="00E66105" w:rsidRDefault="00000000">
            <w:pPr>
              <w:keepNext/>
              <w:keepLines/>
              <w:spacing w:after="0" w:line="240" w:lineRule="auto"/>
            </w:pPr>
            <w:r>
              <w:rPr>
                <w:b/>
                <w:sz w:val="18"/>
              </w:rPr>
              <w:t>X003, Y003</w:t>
            </w:r>
          </w:p>
        </w:tc>
        <w:tc>
          <w:tcPr>
            <w:tcW w:w="1860" w:type="dxa"/>
            <w:tcMar>
              <w:top w:w="0" w:type="dxa"/>
              <w:bottom w:w="0" w:type="dxa"/>
            </w:tcMar>
            <w:vAlign w:val="center"/>
          </w:tcPr>
          <w:p w14:paraId="7CA09DA4" w14:textId="77777777" w:rsidR="00E66105" w:rsidRDefault="00000000">
            <w:pPr>
              <w:keepNext/>
              <w:keepLines/>
              <w:spacing w:after="0" w:line="240" w:lineRule="auto"/>
              <w:jc w:val="right"/>
            </w:pPr>
            <w:r>
              <w:rPr>
                <w:b/>
                <w:sz w:val="18"/>
              </w:rPr>
              <w:t>0,00</w:t>
            </w:r>
          </w:p>
        </w:tc>
        <w:tc>
          <w:tcPr>
            <w:tcW w:w="1860" w:type="dxa"/>
            <w:tcMar>
              <w:top w:w="0" w:type="dxa"/>
              <w:bottom w:w="0" w:type="dxa"/>
            </w:tcMar>
            <w:vAlign w:val="center"/>
          </w:tcPr>
          <w:p w14:paraId="38CC8CBF" w14:textId="77777777" w:rsidR="00E66105" w:rsidRDefault="00000000">
            <w:pPr>
              <w:keepNext/>
              <w:keepLines/>
              <w:spacing w:after="0" w:line="240" w:lineRule="auto"/>
              <w:jc w:val="right"/>
            </w:pPr>
            <w:r>
              <w:rPr>
                <w:b/>
                <w:sz w:val="18"/>
              </w:rPr>
              <w:t>0,00</w:t>
            </w:r>
          </w:p>
        </w:tc>
        <w:tc>
          <w:tcPr>
            <w:tcW w:w="700" w:type="dxa"/>
            <w:tcMar>
              <w:top w:w="0" w:type="dxa"/>
              <w:bottom w:w="0" w:type="dxa"/>
            </w:tcMar>
            <w:vAlign w:val="center"/>
          </w:tcPr>
          <w:p w14:paraId="1A405215" w14:textId="77777777" w:rsidR="00E66105" w:rsidRDefault="00000000">
            <w:pPr>
              <w:keepNext/>
              <w:keepLines/>
              <w:spacing w:after="0" w:line="240" w:lineRule="auto"/>
              <w:jc w:val="right"/>
            </w:pPr>
            <w:r>
              <w:rPr>
                <w:b/>
                <w:sz w:val="18"/>
              </w:rPr>
              <w:t>-</w:t>
            </w:r>
          </w:p>
        </w:tc>
      </w:tr>
      <w:tr w:rsidR="00E66105" w14:paraId="60559A64" w14:textId="77777777">
        <w:tblPrEx>
          <w:tblCellMar>
            <w:top w:w="0" w:type="dxa"/>
            <w:bottom w:w="0" w:type="dxa"/>
          </w:tblCellMar>
        </w:tblPrEx>
        <w:trPr>
          <w:cantSplit/>
          <w:trHeight w:val="560"/>
        </w:trPr>
        <w:tc>
          <w:tcPr>
            <w:tcW w:w="700" w:type="dxa"/>
            <w:tcMar>
              <w:top w:w="0" w:type="dxa"/>
              <w:bottom w:w="0" w:type="dxa"/>
            </w:tcMar>
            <w:vAlign w:val="center"/>
          </w:tcPr>
          <w:p w14:paraId="11FBEA02" w14:textId="77777777" w:rsidR="00E66105" w:rsidRDefault="00E66105">
            <w:pPr>
              <w:keepNext/>
              <w:keepLines/>
              <w:spacing w:after="0" w:line="240" w:lineRule="auto"/>
            </w:pPr>
          </w:p>
        </w:tc>
        <w:tc>
          <w:tcPr>
            <w:tcW w:w="3180" w:type="dxa"/>
            <w:tcMar>
              <w:top w:w="0" w:type="dxa"/>
              <w:bottom w:w="0" w:type="dxa"/>
            </w:tcMar>
            <w:vAlign w:val="center"/>
          </w:tcPr>
          <w:p w14:paraId="084D0D38" w14:textId="77777777" w:rsidR="00E66105"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0F00E38E" w14:textId="77777777" w:rsidR="00E66105" w:rsidRDefault="00000000">
            <w:pPr>
              <w:keepNext/>
              <w:keepLines/>
              <w:spacing w:after="0" w:line="240" w:lineRule="auto"/>
            </w:pPr>
            <w:r>
              <w:rPr>
                <w:b/>
                <w:sz w:val="18"/>
              </w:rPr>
              <w:t>X005</w:t>
            </w:r>
          </w:p>
        </w:tc>
        <w:tc>
          <w:tcPr>
            <w:tcW w:w="1860" w:type="dxa"/>
            <w:tcMar>
              <w:top w:w="0" w:type="dxa"/>
              <w:bottom w:w="0" w:type="dxa"/>
            </w:tcMar>
            <w:vAlign w:val="center"/>
          </w:tcPr>
          <w:p w14:paraId="302679A1" w14:textId="77777777" w:rsidR="00E66105" w:rsidRDefault="00000000">
            <w:pPr>
              <w:keepNext/>
              <w:keepLines/>
              <w:spacing w:after="0" w:line="240" w:lineRule="auto"/>
              <w:jc w:val="right"/>
            </w:pPr>
            <w:r>
              <w:rPr>
                <w:b/>
                <w:sz w:val="18"/>
              </w:rPr>
              <w:t>1.859,57</w:t>
            </w:r>
          </w:p>
        </w:tc>
        <w:tc>
          <w:tcPr>
            <w:tcW w:w="1860" w:type="dxa"/>
            <w:tcMar>
              <w:top w:w="0" w:type="dxa"/>
              <w:bottom w:w="0" w:type="dxa"/>
            </w:tcMar>
            <w:vAlign w:val="center"/>
          </w:tcPr>
          <w:p w14:paraId="4F14F46C" w14:textId="77777777" w:rsidR="00E66105" w:rsidRDefault="00000000">
            <w:pPr>
              <w:keepNext/>
              <w:keepLines/>
              <w:spacing w:after="0" w:line="240" w:lineRule="auto"/>
              <w:jc w:val="right"/>
            </w:pPr>
            <w:r>
              <w:rPr>
                <w:b/>
                <w:sz w:val="18"/>
              </w:rPr>
              <w:t>9.046,36</w:t>
            </w:r>
          </w:p>
        </w:tc>
        <w:tc>
          <w:tcPr>
            <w:tcW w:w="700" w:type="dxa"/>
            <w:tcMar>
              <w:top w:w="0" w:type="dxa"/>
              <w:bottom w:w="0" w:type="dxa"/>
            </w:tcMar>
            <w:vAlign w:val="center"/>
          </w:tcPr>
          <w:p w14:paraId="71F1B264" w14:textId="77777777" w:rsidR="00E66105" w:rsidRDefault="00000000">
            <w:pPr>
              <w:keepNext/>
              <w:keepLines/>
              <w:spacing w:after="0" w:line="240" w:lineRule="auto"/>
              <w:jc w:val="right"/>
            </w:pPr>
            <w:r>
              <w:rPr>
                <w:b/>
                <w:sz w:val="18"/>
              </w:rPr>
              <w:t>486,5</w:t>
            </w:r>
          </w:p>
        </w:tc>
      </w:tr>
    </w:tbl>
    <w:p w14:paraId="4F10D61A" w14:textId="77777777" w:rsidR="00E66105" w:rsidRDefault="00E66105">
      <w:pPr>
        <w:spacing w:after="0"/>
      </w:pPr>
    </w:p>
    <w:p w14:paraId="53F2933D" w14:textId="77777777" w:rsidR="00E66105" w:rsidRDefault="00000000">
      <w:r>
        <w:t xml:space="preserve">U razdoblju od 1.siječnja do 31. prosinca 2025. prihodi poslovanja su ostvareni u iznosu od 557.849,96 EUR. Najznačajnije povećanje prihoda poslovanja ostvareno je od prihoda iz nadležnog proračuna za financiranje rashoda poslovanja. Rashodi poslovanja od 1. siječnja do 31. prosinca 2025. ostvareni su u iznosu od 568.803,60 EUR. Najznačajnije povećanje rashoda evidentirano je na rashodima za plaće.  Najznačajnije smanjenje rashoda poslovanja </w:t>
      </w:r>
      <w:r>
        <w:lastRenderedPageBreak/>
        <w:t>bilježi se na financijskim rashodima. U navedenom razdoblju nema ostvarenih prihoda od prodaje nefinancijske imovine te nisu ni ostvareni rashodi za nabavu nefinancijske imovine. U navedenom razdoblju nije bilo ostvarenih primitaka i izdataka od financijske imovine i zaduživanja. U razdoblju od 1. siječnja do 31. prosinca 2025. ostvaren je višak prihoda i primitka u iznosu od 9.046,36 EUR.</w:t>
      </w:r>
    </w:p>
    <w:p w14:paraId="1C07654D" w14:textId="77777777" w:rsidR="00E66105" w:rsidRDefault="00000000">
      <w:r>
        <w:br/>
      </w:r>
    </w:p>
    <w:p w14:paraId="62C60227" w14:textId="77777777" w:rsidR="00E6610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4DA930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4D816F"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6B7569"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4212D"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F981B6"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F1C5BC"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3B93FE" w14:textId="77777777" w:rsidR="00E66105" w:rsidRDefault="00000000">
            <w:pPr>
              <w:keepNext/>
              <w:keepLines/>
              <w:spacing w:after="0" w:line="240" w:lineRule="auto"/>
              <w:jc w:val="center"/>
            </w:pPr>
            <w:r>
              <w:rPr>
                <w:b/>
                <w:sz w:val="18"/>
              </w:rPr>
              <w:t>Indeks (%)</w:t>
            </w:r>
          </w:p>
        </w:tc>
      </w:tr>
      <w:tr w:rsidR="00E66105" w14:paraId="5A3954AA" w14:textId="77777777">
        <w:tblPrEx>
          <w:tblCellMar>
            <w:top w:w="0" w:type="dxa"/>
            <w:bottom w:w="0" w:type="dxa"/>
          </w:tblCellMar>
        </w:tblPrEx>
        <w:trPr>
          <w:cantSplit/>
          <w:trHeight w:val="560"/>
        </w:trPr>
        <w:tc>
          <w:tcPr>
            <w:tcW w:w="700" w:type="dxa"/>
            <w:tcMar>
              <w:top w:w="0" w:type="dxa"/>
              <w:bottom w:w="0" w:type="dxa"/>
            </w:tcMar>
            <w:vAlign w:val="center"/>
          </w:tcPr>
          <w:p w14:paraId="6EC2AEF2" w14:textId="77777777" w:rsidR="00E66105" w:rsidRDefault="00000000">
            <w:pPr>
              <w:keepNext/>
              <w:keepLines/>
              <w:spacing w:after="0" w:line="240" w:lineRule="auto"/>
            </w:pPr>
            <w:r>
              <w:rPr>
                <w:sz w:val="18"/>
              </w:rPr>
              <w:t>6</w:t>
            </w:r>
          </w:p>
        </w:tc>
        <w:tc>
          <w:tcPr>
            <w:tcW w:w="3180" w:type="dxa"/>
            <w:tcMar>
              <w:top w:w="0" w:type="dxa"/>
              <w:bottom w:w="0" w:type="dxa"/>
            </w:tcMar>
            <w:vAlign w:val="center"/>
          </w:tcPr>
          <w:p w14:paraId="3DBE5EC5" w14:textId="77777777" w:rsidR="00E6610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B4671EC" w14:textId="77777777" w:rsidR="00E66105" w:rsidRDefault="00000000">
            <w:pPr>
              <w:keepNext/>
              <w:keepLines/>
              <w:spacing w:after="0" w:line="240" w:lineRule="auto"/>
            </w:pPr>
            <w:r>
              <w:rPr>
                <w:sz w:val="18"/>
              </w:rPr>
              <w:t>6</w:t>
            </w:r>
          </w:p>
        </w:tc>
        <w:tc>
          <w:tcPr>
            <w:tcW w:w="1860" w:type="dxa"/>
            <w:tcMar>
              <w:top w:w="0" w:type="dxa"/>
              <w:bottom w:w="0" w:type="dxa"/>
            </w:tcMar>
            <w:vAlign w:val="center"/>
          </w:tcPr>
          <w:p w14:paraId="688D5A13" w14:textId="77777777" w:rsidR="00E66105" w:rsidRDefault="00000000">
            <w:pPr>
              <w:keepNext/>
              <w:keepLines/>
              <w:spacing w:after="0" w:line="240" w:lineRule="auto"/>
              <w:jc w:val="right"/>
            </w:pPr>
            <w:r>
              <w:rPr>
                <w:sz w:val="18"/>
              </w:rPr>
              <w:t>462.923,56</w:t>
            </w:r>
          </w:p>
        </w:tc>
        <w:tc>
          <w:tcPr>
            <w:tcW w:w="1860" w:type="dxa"/>
            <w:tcMar>
              <w:top w:w="0" w:type="dxa"/>
              <w:bottom w:w="0" w:type="dxa"/>
            </w:tcMar>
            <w:vAlign w:val="center"/>
          </w:tcPr>
          <w:p w14:paraId="11C587F6" w14:textId="77777777" w:rsidR="00E66105" w:rsidRDefault="00000000">
            <w:pPr>
              <w:keepNext/>
              <w:keepLines/>
              <w:spacing w:after="0" w:line="240" w:lineRule="auto"/>
              <w:jc w:val="right"/>
            </w:pPr>
            <w:r>
              <w:rPr>
                <w:sz w:val="18"/>
              </w:rPr>
              <w:t>577.849,96</w:t>
            </w:r>
          </w:p>
        </w:tc>
        <w:tc>
          <w:tcPr>
            <w:tcW w:w="700" w:type="dxa"/>
            <w:tcMar>
              <w:top w:w="0" w:type="dxa"/>
              <w:bottom w:w="0" w:type="dxa"/>
            </w:tcMar>
            <w:vAlign w:val="center"/>
          </w:tcPr>
          <w:p w14:paraId="61FDA1E9" w14:textId="77777777" w:rsidR="00E66105" w:rsidRDefault="00000000">
            <w:pPr>
              <w:keepNext/>
              <w:keepLines/>
              <w:spacing w:after="0" w:line="240" w:lineRule="auto"/>
              <w:jc w:val="right"/>
            </w:pPr>
            <w:r>
              <w:rPr>
                <w:sz w:val="18"/>
              </w:rPr>
              <w:t>124,8</w:t>
            </w:r>
          </w:p>
        </w:tc>
      </w:tr>
    </w:tbl>
    <w:p w14:paraId="6471E29C" w14:textId="77777777" w:rsidR="00E66105" w:rsidRDefault="00E66105">
      <w:pPr>
        <w:spacing w:after="0"/>
      </w:pPr>
    </w:p>
    <w:p w14:paraId="000F673F" w14:textId="77777777" w:rsidR="00E66105" w:rsidRDefault="00000000">
      <w:r>
        <w:t>Prihodi poslovanja su ostvareni u iznosu od 577.849,96 EUR odnosno 24,8% više u odnosu na prethodnu godinu.</w:t>
      </w:r>
    </w:p>
    <w:p w14:paraId="69F896EE" w14:textId="77777777" w:rsidR="00E66105" w:rsidRDefault="00000000">
      <w:r>
        <w:t>U tablici je prikaz ostvarenih prihoda poslovanja.</w:t>
      </w:r>
    </w:p>
    <w:tbl>
      <w:tblPr>
        <w:tblStyle w:val="Reetkatablice"/>
        <w:tblW w:w="3896" w:type="pct"/>
        <w:tblLook w:val="04A0" w:firstRow="1" w:lastRow="0" w:firstColumn="1" w:lastColumn="0" w:noHBand="0" w:noVBand="1"/>
      </w:tblPr>
      <w:tblGrid>
        <w:gridCol w:w="1089"/>
        <w:gridCol w:w="2524"/>
        <w:gridCol w:w="1296"/>
        <w:gridCol w:w="1296"/>
        <w:gridCol w:w="856"/>
      </w:tblGrid>
      <w:tr w:rsidR="00E66105" w14:paraId="3E86AE4D" w14:textId="77777777">
        <w:trPr>
          <w:trHeight w:val="878"/>
        </w:trPr>
        <w:tc>
          <w:tcPr>
            <w:tcW w:w="861" w:type="pct"/>
            <w:vAlign w:val="center"/>
          </w:tcPr>
          <w:p w14:paraId="00C30767" w14:textId="77777777" w:rsidR="00E66105" w:rsidRDefault="00000000">
            <w:pPr>
              <w:keepNext/>
              <w:jc w:val="center"/>
            </w:pPr>
            <w:r>
              <w:t>Rač. iz rač.plana</w:t>
            </w:r>
          </w:p>
        </w:tc>
        <w:tc>
          <w:tcPr>
            <w:tcW w:w="2271" w:type="pct"/>
            <w:vAlign w:val="center"/>
          </w:tcPr>
          <w:p w14:paraId="54FF9A7D" w14:textId="77777777" w:rsidR="00E66105" w:rsidRDefault="00000000">
            <w:pPr>
              <w:keepNext/>
              <w:jc w:val="center"/>
            </w:pPr>
            <w:r>
              <w:t>Opis stavke</w:t>
            </w:r>
          </w:p>
        </w:tc>
        <w:tc>
          <w:tcPr>
            <w:tcW w:w="536" w:type="pct"/>
            <w:vAlign w:val="center"/>
          </w:tcPr>
          <w:p w14:paraId="6CD67D5B" w14:textId="77777777" w:rsidR="00E66105" w:rsidRDefault="00000000">
            <w:pPr>
              <w:keepNext/>
              <w:jc w:val="center"/>
            </w:pPr>
            <w:r>
              <w:t>2024.</w:t>
            </w:r>
          </w:p>
        </w:tc>
        <w:tc>
          <w:tcPr>
            <w:tcW w:w="940" w:type="pct"/>
            <w:vAlign w:val="center"/>
          </w:tcPr>
          <w:p w14:paraId="7B941074" w14:textId="77777777" w:rsidR="00E66105" w:rsidRDefault="00000000">
            <w:pPr>
              <w:keepNext/>
              <w:jc w:val="center"/>
            </w:pPr>
            <w:r>
              <w:t>2025.</w:t>
            </w:r>
          </w:p>
        </w:tc>
        <w:tc>
          <w:tcPr>
            <w:tcW w:w="390" w:type="pct"/>
            <w:vAlign w:val="center"/>
          </w:tcPr>
          <w:p w14:paraId="7A4830D7" w14:textId="77777777" w:rsidR="00E66105" w:rsidRDefault="00000000">
            <w:pPr>
              <w:keepNext/>
              <w:jc w:val="center"/>
            </w:pPr>
            <w:r>
              <w:t>Indeks</w:t>
            </w:r>
          </w:p>
        </w:tc>
      </w:tr>
      <w:tr w:rsidR="00E66105" w14:paraId="41ED611D" w14:textId="77777777">
        <w:trPr>
          <w:trHeight w:val="878"/>
        </w:trPr>
        <w:tc>
          <w:tcPr>
            <w:tcW w:w="861" w:type="pct"/>
            <w:vAlign w:val="center"/>
          </w:tcPr>
          <w:p w14:paraId="4FD9A619" w14:textId="77777777" w:rsidR="00E66105" w:rsidRDefault="00000000">
            <w:pPr>
              <w:keepNext/>
              <w:jc w:val="center"/>
            </w:pPr>
            <w:r>
              <w:t>63</w:t>
            </w:r>
          </w:p>
        </w:tc>
        <w:tc>
          <w:tcPr>
            <w:tcW w:w="2271" w:type="pct"/>
            <w:vAlign w:val="center"/>
          </w:tcPr>
          <w:p w14:paraId="6BC5FD06" w14:textId="77777777" w:rsidR="00E66105" w:rsidRDefault="00000000">
            <w:pPr>
              <w:keepNext/>
              <w:jc w:val="center"/>
            </w:pPr>
            <w:r>
              <w:t>Pomoći iz inozemstva i od subjekata unutar općeg proračuna</w:t>
            </w:r>
          </w:p>
        </w:tc>
        <w:tc>
          <w:tcPr>
            <w:tcW w:w="536" w:type="pct"/>
            <w:vAlign w:val="center"/>
          </w:tcPr>
          <w:p w14:paraId="2588B742" w14:textId="77777777" w:rsidR="00E66105" w:rsidRDefault="00000000">
            <w:pPr>
              <w:keepNext/>
              <w:jc w:val="center"/>
            </w:pPr>
            <w:r>
              <w:t>367,20</w:t>
            </w:r>
          </w:p>
        </w:tc>
        <w:tc>
          <w:tcPr>
            <w:tcW w:w="940" w:type="pct"/>
            <w:vAlign w:val="center"/>
          </w:tcPr>
          <w:p w14:paraId="08EB1DFF" w14:textId="77777777" w:rsidR="00E66105" w:rsidRDefault="00000000">
            <w:pPr>
              <w:keepNext/>
              <w:jc w:val="center"/>
            </w:pPr>
            <w:r>
              <w:t>599,40</w:t>
            </w:r>
          </w:p>
        </w:tc>
        <w:tc>
          <w:tcPr>
            <w:tcW w:w="390" w:type="pct"/>
            <w:vAlign w:val="center"/>
          </w:tcPr>
          <w:p w14:paraId="3EEA69E6" w14:textId="77777777" w:rsidR="00E66105" w:rsidRDefault="00000000">
            <w:pPr>
              <w:keepNext/>
              <w:jc w:val="center"/>
            </w:pPr>
            <w:r>
              <w:t>160,8</w:t>
            </w:r>
          </w:p>
        </w:tc>
      </w:tr>
      <w:tr w:rsidR="00E66105" w14:paraId="7FA97C3D" w14:textId="77777777">
        <w:trPr>
          <w:trHeight w:val="542"/>
        </w:trPr>
        <w:tc>
          <w:tcPr>
            <w:tcW w:w="861" w:type="pct"/>
            <w:vAlign w:val="center"/>
          </w:tcPr>
          <w:p w14:paraId="4AB37717" w14:textId="77777777" w:rsidR="00E66105" w:rsidRDefault="00000000">
            <w:pPr>
              <w:keepNext/>
              <w:jc w:val="center"/>
            </w:pPr>
            <w:r>
              <w:t>64</w:t>
            </w:r>
          </w:p>
        </w:tc>
        <w:tc>
          <w:tcPr>
            <w:tcW w:w="2271" w:type="pct"/>
            <w:vAlign w:val="center"/>
          </w:tcPr>
          <w:p w14:paraId="61EC9A39" w14:textId="77777777" w:rsidR="00E66105" w:rsidRDefault="00000000">
            <w:pPr>
              <w:keepNext/>
              <w:jc w:val="center"/>
            </w:pPr>
            <w:r>
              <w:t>Prihodi od imovine</w:t>
            </w:r>
          </w:p>
        </w:tc>
        <w:tc>
          <w:tcPr>
            <w:tcW w:w="536" w:type="pct"/>
            <w:vAlign w:val="center"/>
          </w:tcPr>
          <w:p w14:paraId="4CE579FD" w14:textId="77777777" w:rsidR="00E66105" w:rsidRDefault="00000000">
            <w:pPr>
              <w:keepNext/>
              <w:jc w:val="center"/>
            </w:pPr>
            <w:r>
              <w:t>0,06</w:t>
            </w:r>
          </w:p>
        </w:tc>
        <w:tc>
          <w:tcPr>
            <w:tcW w:w="940" w:type="pct"/>
            <w:vAlign w:val="center"/>
          </w:tcPr>
          <w:p w14:paraId="1A85AD5D" w14:textId="77777777" w:rsidR="00E66105" w:rsidRDefault="00000000">
            <w:pPr>
              <w:keepNext/>
              <w:jc w:val="center"/>
            </w:pPr>
            <w:r>
              <w:t>0,07</w:t>
            </w:r>
          </w:p>
        </w:tc>
        <w:tc>
          <w:tcPr>
            <w:tcW w:w="390" w:type="pct"/>
            <w:vAlign w:val="center"/>
          </w:tcPr>
          <w:p w14:paraId="15588315" w14:textId="77777777" w:rsidR="00E66105" w:rsidRDefault="00000000">
            <w:pPr>
              <w:keepNext/>
              <w:jc w:val="center"/>
            </w:pPr>
            <w:r>
              <w:t>116,7</w:t>
            </w:r>
          </w:p>
        </w:tc>
      </w:tr>
      <w:tr w:rsidR="00E66105" w14:paraId="73A063C6" w14:textId="77777777">
        <w:trPr>
          <w:trHeight w:val="1214"/>
        </w:trPr>
        <w:tc>
          <w:tcPr>
            <w:tcW w:w="861" w:type="pct"/>
            <w:vAlign w:val="center"/>
          </w:tcPr>
          <w:p w14:paraId="24103888" w14:textId="77777777" w:rsidR="00E66105" w:rsidRDefault="00000000">
            <w:pPr>
              <w:keepNext/>
              <w:jc w:val="center"/>
            </w:pPr>
            <w:r>
              <w:t>65</w:t>
            </w:r>
          </w:p>
        </w:tc>
        <w:tc>
          <w:tcPr>
            <w:tcW w:w="2271" w:type="pct"/>
            <w:vAlign w:val="center"/>
          </w:tcPr>
          <w:p w14:paraId="1D55835D" w14:textId="77777777" w:rsidR="00E66105" w:rsidRDefault="00000000">
            <w:pPr>
              <w:keepNext/>
              <w:jc w:val="center"/>
            </w:pPr>
            <w:r>
              <w:t>Prihodi od upravnih i administrativnih pristojbi, pristojbi po posebnim propisima i naknada</w:t>
            </w:r>
          </w:p>
        </w:tc>
        <w:tc>
          <w:tcPr>
            <w:tcW w:w="536" w:type="pct"/>
            <w:vAlign w:val="center"/>
          </w:tcPr>
          <w:p w14:paraId="749D44F9" w14:textId="77777777" w:rsidR="00E66105" w:rsidRDefault="00000000">
            <w:pPr>
              <w:keepNext/>
              <w:jc w:val="center"/>
            </w:pPr>
            <w:r>
              <w:t>88.629,84</w:t>
            </w:r>
          </w:p>
        </w:tc>
        <w:tc>
          <w:tcPr>
            <w:tcW w:w="940" w:type="pct"/>
            <w:vAlign w:val="center"/>
          </w:tcPr>
          <w:p w14:paraId="506BFB84" w14:textId="77777777" w:rsidR="00E66105" w:rsidRDefault="00000000">
            <w:pPr>
              <w:keepNext/>
              <w:jc w:val="center"/>
            </w:pPr>
            <w:r>
              <w:t>103.603,78</w:t>
            </w:r>
          </w:p>
        </w:tc>
        <w:tc>
          <w:tcPr>
            <w:tcW w:w="390" w:type="pct"/>
            <w:vAlign w:val="center"/>
          </w:tcPr>
          <w:p w14:paraId="599CE8EB" w14:textId="77777777" w:rsidR="00E66105" w:rsidRDefault="00000000">
            <w:pPr>
              <w:keepNext/>
              <w:jc w:val="center"/>
            </w:pPr>
            <w:r>
              <w:t>116,9</w:t>
            </w:r>
          </w:p>
        </w:tc>
      </w:tr>
      <w:tr w:rsidR="00E66105" w14:paraId="74609BF1" w14:textId="77777777">
        <w:trPr>
          <w:trHeight w:val="1214"/>
        </w:trPr>
        <w:tc>
          <w:tcPr>
            <w:tcW w:w="861" w:type="pct"/>
            <w:vAlign w:val="center"/>
          </w:tcPr>
          <w:p w14:paraId="6B208C0D" w14:textId="77777777" w:rsidR="00E66105" w:rsidRDefault="00000000">
            <w:pPr>
              <w:keepNext/>
              <w:jc w:val="center"/>
            </w:pPr>
            <w:r>
              <w:t>66</w:t>
            </w:r>
          </w:p>
        </w:tc>
        <w:tc>
          <w:tcPr>
            <w:tcW w:w="2271" w:type="pct"/>
            <w:vAlign w:val="center"/>
          </w:tcPr>
          <w:p w14:paraId="5AA9C8EE" w14:textId="77777777" w:rsidR="00E66105" w:rsidRDefault="00000000">
            <w:pPr>
              <w:keepNext/>
              <w:jc w:val="center"/>
            </w:pPr>
            <w:r>
              <w:t>Prihodi od prodaje proizvoda i robe te pruženih usluga, prihodi od donacija te povrati po protestiranim jamstvima</w:t>
            </w:r>
          </w:p>
        </w:tc>
        <w:tc>
          <w:tcPr>
            <w:tcW w:w="536" w:type="pct"/>
            <w:vAlign w:val="center"/>
          </w:tcPr>
          <w:p w14:paraId="3E8E3631" w14:textId="77777777" w:rsidR="00E66105" w:rsidRDefault="00000000">
            <w:pPr>
              <w:keepNext/>
              <w:jc w:val="center"/>
            </w:pPr>
            <w:r>
              <w:t>2.579,45</w:t>
            </w:r>
          </w:p>
        </w:tc>
        <w:tc>
          <w:tcPr>
            <w:tcW w:w="940" w:type="pct"/>
            <w:vAlign w:val="center"/>
          </w:tcPr>
          <w:p w14:paraId="70C1C692" w14:textId="77777777" w:rsidR="00E66105" w:rsidRDefault="00000000">
            <w:pPr>
              <w:keepNext/>
              <w:jc w:val="center"/>
            </w:pPr>
            <w:r>
              <w:t>5.800,00</w:t>
            </w:r>
          </w:p>
        </w:tc>
        <w:tc>
          <w:tcPr>
            <w:tcW w:w="390" w:type="pct"/>
            <w:vAlign w:val="center"/>
          </w:tcPr>
          <w:p w14:paraId="54EBC7E6" w14:textId="77777777" w:rsidR="00E66105" w:rsidRDefault="00000000">
            <w:pPr>
              <w:keepNext/>
              <w:jc w:val="center"/>
            </w:pPr>
            <w:r>
              <w:t>224,9</w:t>
            </w:r>
          </w:p>
        </w:tc>
      </w:tr>
      <w:tr w:rsidR="00E66105" w14:paraId="6250DD2E" w14:textId="77777777">
        <w:trPr>
          <w:trHeight w:val="878"/>
        </w:trPr>
        <w:tc>
          <w:tcPr>
            <w:tcW w:w="861" w:type="pct"/>
            <w:vAlign w:val="center"/>
          </w:tcPr>
          <w:p w14:paraId="394B6124" w14:textId="77777777" w:rsidR="00E66105" w:rsidRDefault="00000000">
            <w:pPr>
              <w:keepNext/>
              <w:jc w:val="center"/>
            </w:pPr>
            <w:r>
              <w:t>67</w:t>
            </w:r>
          </w:p>
        </w:tc>
        <w:tc>
          <w:tcPr>
            <w:tcW w:w="2271" w:type="pct"/>
            <w:vAlign w:val="center"/>
          </w:tcPr>
          <w:p w14:paraId="1BDA6DD5" w14:textId="77777777" w:rsidR="00E66105" w:rsidRDefault="00000000">
            <w:pPr>
              <w:keepNext/>
              <w:jc w:val="center"/>
            </w:pPr>
            <w:r>
              <w:t>Prihodi iz nadležnog proračuna i od HZZO-a na temelju ugovornij obveza</w:t>
            </w:r>
          </w:p>
        </w:tc>
        <w:tc>
          <w:tcPr>
            <w:tcW w:w="536" w:type="pct"/>
            <w:vAlign w:val="center"/>
          </w:tcPr>
          <w:p w14:paraId="25B4505C" w14:textId="77777777" w:rsidR="00E66105" w:rsidRDefault="00000000">
            <w:pPr>
              <w:keepNext/>
              <w:jc w:val="center"/>
            </w:pPr>
            <w:r>
              <w:t>371.347,01</w:t>
            </w:r>
          </w:p>
        </w:tc>
        <w:tc>
          <w:tcPr>
            <w:tcW w:w="940" w:type="pct"/>
            <w:vAlign w:val="center"/>
          </w:tcPr>
          <w:p w14:paraId="117B93F2" w14:textId="77777777" w:rsidR="00E66105" w:rsidRDefault="00000000">
            <w:pPr>
              <w:keepNext/>
              <w:jc w:val="center"/>
            </w:pPr>
            <w:r>
              <w:t>467.855,71</w:t>
            </w:r>
          </w:p>
        </w:tc>
        <w:tc>
          <w:tcPr>
            <w:tcW w:w="390" w:type="pct"/>
            <w:vAlign w:val="center"/>
          </w:tcPr>
          <w:p w14:paraId="4CE75912" w14:textId="77777777" w:rsidR="00E66105" w:rsidRDefault="00000000">
            <w:pPr>
              <w:keepNext/>
              <w:jc w:val="center"/>
            </w:pPr>
            <w:r>
              <w:t>126,0</w:t>
            </w:r>
          </w:p>
        </w:tc>
      </w:tr>
    </w:tbl>
    <w:p w14:paraId="53421F27" w14:textId="77777777" w:rsidR="00E66105" w:rsidRDefault="00000000">
      <w:r>
        <w:t> </w:t>
      </w:r>
    </w:p>
    <w:p w14:paraId="2AB1F529" w14:textId="77777777" w:rsidR="00E66105" w:rsidRDefault="00E66105"/>
    <w:p w14:paraId="0816DF25" w14:textId="77777777" w:rsidR="00E66105"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74E9D8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7B3939"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4F350C"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B2D237"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378569"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05E9AF"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E29E90" w14:textId="77777777" w:rsidR="00E66105" w:rsidRDefault="00000000">
            <w:pPr>
              <w:keepNext/>
              <w:keepLines/>
              <w:spacing w:after="0" w:line="240" w:lineRule="auto"/>
              <w:jc w:val="center"/>
            </w:pPr>
            <w:r>
              <w:rPr>
                <w:b/>
                <w:sz w:val="18"/>
              </w:rPr>
              <w:t>Indeks (%)</w:t>
            </w:r>
          </w:p>
        </w:tc>
      </w:tr>
      <w:tr w:rsidR="00E66105" w14:paraId="19E295D8" w14:textId="77777777">
        <w:tblPrEx>
          <w:tblCellMar>
            <w:top w:w="0" w:type="dxa"/>
            <w:bottom w:w="0" w:type="dxa"/>
          </w:tblCellMar>
        </w:tblPrEx>
        <w:trPr>
          <w:cantSplit/>
          <w:trHeight w:val="560"/>
        </w:trPr>
        <w:tc>
          <w:tcPr>
            <w:tcW w:w="700" w:type="dxa"/>
            <w:tcMar>
              <w:top w:w="0" w:type="dxa"/>
              <w:bottom w:w="0" w:type="dxa"/>
            </w:tcMar>
            <w:vAlign w:val="center"/>
          </w:tcPr>
          <w:p w14:paraId="4A2EE5D2" w14:textId="77777777" w:rsidR="00E66105" w:rsidRDefault="00000000">
            <w:pPr>
              <w:keepNext/>
              <w:keepLines/>
              <w:spacing w:after="0" w:line="240" w:lineRule="auto"/>
            </w:pPr>
            <w:r>
              <w:rPr>
                <w:sz w:val="18"/>
              </w:rPr>
              <w:t>63</w:t>
            </w:r>
          </w:p>
        </w:tc>
        <w:tc>
          <w:tcPr>
            <w:tcW w:w="3180" w:type="dxa"/>
            <w:tcMar>
              <w:top w:w="0" w:type="dxa"/>
              <w:bottom w:w="0" w:type="dxa"/>
            </w:tcMar>
            <w:vAlign w:val="center"/>
          </w:tcPr>
          <w:p w14:paraId="04338FB8" w14:textId="77777777" w:rsidR="00E66105"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91D44EF" w14:textId="77777777" w:rsidR="00E66105" w:rsidRDefault="00000000">
            <w:pPr>
              <w:keepNext/>
              <w:keepLines/>
              <w:spacing w:after="0" w:line="240" w:lineRule="auto"/>
            </w:pPr>
            <w:r>
              <w:rPr>
                <w:sz w:val="18"/>
              </w:rPr>
              <w:t>63</w:t>
            </w:r>
          </w:p>
        </w:tc>
        <w:tc>
          <w:tcPr>
            <w:tcW w:w="1860" w:type="dxa"/>
            <w:tcMar>
              <w:top w:w="0" w:type="dxa"/>
              <w:bottom w:w="0" w:type="dxa"/>
            </w:tcMar>
            <w:vAlign w:val="center"/>
          </w:tcPr>
          <w:p w14:paraId="02EA5C6B" w14:textId="77777777" w:rsidR="00E66105" w:rsidRDefault="00000000">
            <w:pPr>
              <w:keepNext/>
              <w:keepLines/>
              <w:spacing w:after="0" w:line="240" w:lineRule="auto"/>
              <w:jc w:val="right"/>
            </w:pPr>
            <w:r>
              <w:rPr>
                <w:sz w:val="18"/>
              </w:rPr>
              <w:t>367,20</w:t>
            </w:r>
          </w:p>
        </w:tc>
        <w:tc>
          <w:tcPr>
            <w:tcW w:w="1860" w:type="dxa"/>
            <w:tcMar>
              <w:top w:w="0" w:type="dxa"/>
              <w:bottom w:w="0" w:type="dxa"/>
            </w:tcMar>
            <w:vAlign w:val="center"/>
          </w:tcPr>
          <w:p w14:paraId="73E8354E" w14:textId="77777777" w:rsidR="00E66105" w:rsidRDefault="00000000">
            <w:pPr>
              <w:keepNext/>
              <w:keepLines/>
              <w:spacing w:after="0" w:line="240" w:lineRule="auto"/>
              <w:jc w:val="right"/>
            </w:pPr>
            <w:r>
              <w:rPr>
                <w:sz w:val="18"/>
              </w:rPr>
              <w:t>590,40</w:t>
            </w:r>
          </w:p>
        </w:tc>
        <w:tc>
          <w:tcPr>
            <w:tcW w:w="700" w:type="dxa"/>
            <w:tcMar>
              <w:top w:w="0" w:type="dxa"/>
              <w:bottom w:w="0" w:type="dxa"/>
            </w:tcMar>
            <w:vAlign w:val="center"/>
          </w:tcPr>
          <w:p w14:paraId="2E51F9A2" w14:textId="77777777" w:rsidR="00E66105" w:rsidRDefault="00000000">
            <w:pPr>
              <w:keepNext/>
              <w:keepLines/>
              <w:spacing w:after="0" w:line="240" w:lineRule="auto"/>
              <w:jc w:val="right"/>
            </w:pPr>
            <w:r>
              <w:rPr>
                <w:sz w:val="18"/>
              </w:rPr>
              <w:t>160,8</w:t>
            </w:r>
          </w:p>
        </w:tc>
      </w:tr>
    </w:tbl>
    <w:p w14:paraId="249B38B7" w14:textId="77777777" w:rsidR="00E66105" w:rsidRDefault="00E66105">
      <w:pPr>
        <w:spacing w:after="0"/>
      </w:pPr>
    </w:p>
    <w:p w14:paraId="71DB95A0" w14:textId="77777777" w:rsidR="00E66105" w:rsidRDefault="00000000">
      <w:r>
        <w:t>Pomoći iz inozemstva i od subjekata unutar općeg proračuna ostvareni su u iznosu od 590,40 EUR odnosno 60,8% više u odnosu na prethodnu godinu. Navedeni prihodi se odnose na tekuće pomoći iz državnog proračuna za provođenje programa predškole.</w:t>
      </w:r>
    </w:p>
    <w:p w14:paraId="10081077" w14:textId="77777777" w:rsidR="00E66105" w:rsidRDefault="00E66105"/>
    <w:p w14:paraId="206C6A18" w14:textId="77777777" w:rsidR="00E6610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59D52C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2ECB6B"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3ECA9E"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00E41"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5F9B06"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CAECA1"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E49FDA" w14:textId="77777777" w:rsidR="00E66105" w:rsidRDefault="00000000">
            <w:pPr>
              <w:keepNext/>
              <w:keepLines/>
              <w:spacing w:after="0" w:line="240" w:lineRule="auto"/>
              <w:jc w:val="center"/>
            </w:pPr>
            <w:r>
              <w:rPr>
                <w:b/>
                <w:sz w:val="18"/>
              </w:rPr>
              <w:t>Indeks (%)</w:t>
            </w:r>
          </w:p>
        </w:tc>
      </w:tr>
      <w:tr w:rsidR="00E66105" w14:paraId="260F03E8" w14:textId="77777777">
        <w:tblPrEx>
          <w:tblCellMar>
            <w:top w:w="0" w:type="dxa"/>
            <w:bottom w:w="0" w:type="dxa"/>
          </w:tblCellMar>
        </w:tblPrEx>
        <w:trPr>
          <w:cantSplit/>
          <w:trHeight w:val="560"/>
        </w:trPr>
        <w:tc>
          <w:tcPr>
            <w:tcW w:w="700" w:type="dxa"/>
            <w:tcMar>
              <w:top w:w="0" w:type="dxa"/>
              <w:bottom w:w="0" w:type="dxa"/>
            </w:tcMar>
            <w:vAlign w:val="center"/>
          </w:tcPr>
          <w:p w14:paraId="622BA1A0" w14:textId="77777777" w:rsidR="00E66105" w:rsidRDefault="00000000">
            <w:pPr>
              <w:keepNext/>
              <w:keepLines/>
              <w:spacing w:after="0" w:line="240" w:lineRule="auto"/>
            </w:pPr>
            <w:r>
              <w:rPr>
                <w:sz w:val="18"/>
              </w:rPr>
              <w:t>64</w:t>
            </w:r>
          </w:p>
        </w:tc>
        <w:tc>
          <w:tcPr>
            <w:tcW w:w="3180" w:type="dxa"/>
            <w:tcMar>
              <w:top w:w="0" w:type="dxa"/>
              <w:bottom w:w="0" w:type="dxa"/>
            </w:tcMar>
            <w:vAlign w:val="center"/>
          </w:tcPr>
          <w:p w14:paraId="3EE46E69" w14:textId="77777777" w:rsidR="00E66105"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5C6C9293" w14:textId="77777777" w:rsidR="00E66105" w:rsidRDefault="00000000">
            <w:pPr>
              <w:keepNext/>
              <w:keepLines/>
              <w:spacing w:after="0" w:line="240" w:lineRule="auto"/>
            </w:pPr>
            <w:r>
              <w:rPr>
                <w:sz w:val="18"/>
              </w:rPr>
              <w:t>64</w:t>
            </w:r>
          </w:p>
        </w:tc>
        <w:tc>
          <w:tcPr>
            <w:tcW w:w="1860" w:type="dxa"/>
            <w:tcMar>
              <w:top w:w="0" w:type="dxa"/>
              <w:bottom w:w="0" w:type="dxa"/>
            </w:tcMar>
            <w:vAlign w:val="center"/>
          </w:tcPr>
          <w:p w14:paraId="4C4008D6" w14:textId="77777777" w:rsidR="00E66105" w:rsidRDefault="00000000">
            <w:pPr>
              <w:keepNext/>
              <w:keepLines/>
              <w:spacing w:after="0" w:line="240" w:lineRule="auto"/>
              <w:jc w:val="right"/>
            </w:pPr>
            <w:r>
              <w:rPr>
                <w:sz w:val="18"/>
              </w:rPr>
              <w:t>0,06</w:t>
            </w:r>
          </w:p>
        </w:tc>
        <w:tc>
          <w:tcPr>
            <w:tcW w:w="1860" w:type="dxa"/>
            <w:tcMar>
              <w:top w:w="0" w:type="dxa"/>
              <w:bottom w:w="0" w:type="dxa"/>
            </w:tcMar>
            <w:vAlign w:val="center"/>
          </w:tcPr>
          <w:p w14:paraId="4F9FE81C" w14:textId="77777777" w:rsidR="00E66105" w:rsidRDefault="00000000">
            <w:pPr>
              <w:keepNext/>
              <w:keepLines/>
              <w:spacing w:after="0" w:line="240" w:lineRule="auto"/>
              <w:jc w:val="right"/>
            </w:pPr>
            <w:r>
              <w:rPr>
                <w:sz w:val="18"/>
              </w:rPr>
              <w:t>0,07</w:t>
            </w:r>
          </w:p>
        </w:tc>
        <w:tc>
          <w:tcPr>
            <w:tcW w:w="700" w:type="dxa"/>
            <w:tcMar>
              <w:top w:w="0" w:type="dxa"/>
              <w:bottom w:w="0" w:type="dxa"/>
            </w:tcMar>
            <w:vAlign w:val="center"/>
          </w:tcPr>
          <w:p w14:paraId="4498695E" w14:textId="77777777" w:rsidR="00E66105" w:rsidRDefault="00000000">
            <w:pPr>
              <w:keepNext/>
              <w:keepLines/>
              <w:spacing w:after="0" w:line="240" w:lineRule="auto"/>
              <w:jc w:val="right"/>
            </w:pPr>
            <w:r>
              <w:rPr>
                <w:sz w:val="18"/>
              </w:rPr>
              <w:t>116,7</w:t>
            </w:r>
          </w:p>
        </w:tc>
      </w:tr>
    </w:tbl>
    <w:p w14:paraId="29159D12" w14:textId="77777777" w:rsidR="00E66105" w:rsidRDefault="00E66105">
      <w:pPr>
        <w:spacing w:after="0"/>
      </w:pPr>
    </w:p>
    <w:p w14:paraId="3D378173" w14:textId="77777777" w:rsidR="00E66105" w:rsidRDefault="00000000">
      <w:r>
        <w:t>Prihodi od imovine ostvareni su u iznosu od 0,07 EUR, odnosno 16,7% više u odnosu na prethodnu godinu.</w:t>
      </w:r>
    </w:p>
    <w:p w14:paraId="156DDE50" w14:textId="77777777" w:rsidR="00E66105" w:rsidRDefault="00E66105"/>
    <w:p w14:paraId="32F66C1E" w14:textId="77777777" w:rsidR="00E66105"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5D7C66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9E988F"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4F81BD"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30F6B1"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74C5A2"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CEAFD1"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3BC835" w14:textId="77777777" w:rsidR="00E66105" w:rsidRDefault="00000000">
            <w:pPr>
              <w:keepNext/>
              <w:keepLines/>
              <w:spacing w:after="0" w:line="240" w:lineRule="auto"/>
              <w:jc w:val="center"/>
            </w:pPr>
            <w:r>
              <w:rPr>
                <w:b/>
                <w:sz w:val="18"/>
              </w:rPr>
              <w:t>Indeks (%)</w:t>
            </w:r>
          </w:p>
        </w:tc>
      </w:tr>
      <w:tr w:rsidR="00E66105" w14:paraId="59703837" w14:textId="77777777">
        <w:tblPrEx>
          <w:tblCellMar>
            <w:top w:w="0" w:type="dxa"/>
            <w:bottom w:w="0" w:type="dxa"/>
          </w:tblCellMar>
        </w:tblPrEx>
        <w:trPr>
          <w:cantSplit/>
          <w:trHeight w:val="560"/>
        </w:trPr>
        <w:tc>
          <w:tcPr>
            <w:tcW w:w="700" w:type="dxa"/>
            <w:tcMar>
              <w:top w:w="0" w:type="dxa"/>
              <w:bottom w:w="0" w:type="dxa"/>
            </w:tcMar>
            <w:vAlign w:val="center"/>
          </w:tcPr>
          <w:p w14:paraId="087826FE" w14:textId="77777777" w:rsidR="00E66105" w:rsidRDefault="00000000">
            <w:pPr>
              <w:keepNext/>
              <w:keepLines/>
              <w:spacing w:after="0" w:line="240" w:lineRule="auto"/>
            </w:pPr>
            <w:r>
              <w:rPr>
                <w:sz w:val="18"/>
              </w:rPr>
              <w:t>65</w:t>
            </w:r>
          </w:p>
        </w:tc>
        <w:tc>
          <w:tcPr>
            <w:tcW w:w="3180" w:type="dxa"/>
            <w:tcMar>
              <w:top w:w="0" w:type="dxa"/>
              <w:bottom w:w="0" w:type="dxa"/>
            </w:tcMar>
            <w:vAlign w:val="center"/>
          </w:tcPr>
          <w:p w14:paraId="047C8EFB" w14:textId="77777777" w:rsidR="00E66105"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3985E935" w14:textId="77777777" w:rsidR="00E66105" w:rsidRDefault="00000000">
            <w:pPr>
              <w:keepNext/>
              <w:keepLines/>
              <w:spacing w:after="0" w:line="240" w:lineRule="auto"/>
            </w:pPr>
            <w:r>
              <w:rPr>
                <w:sz w:val="18"/>
              </w:rPr>
              <w:t>65</w:t>
            </w:r>
          </w:p>
        </w:tc>
        <w:tc>
          <w:tcPr>
            <w:tcW w:w="1860" w:type="dxa"/>
            <w:tcMar>
              <w:top w:w="0" w:type="dxa"/>
              <w:bottom w:w="0" w:type="dxa"/>
            </w:tcMar>
            <w:vAlign w:val="center"/>
          </w:tcPr>
          <w:p w14:paraId="61506EAB" w14:textId="77777777" w:rsidR="00E66105" w:rsidRDefault="00000000">
            <w:pPr>
              <w:keepNext/>
              <w:keepLines/>
              <w:spacing w:after="0" w:line="240" w:lineRule="auto"/>
              <w:jc w:val="right"/>
            </w:pPr>
            <w:r>
              <w:rPr>
                <w:sz w:val="18"/>
              </w:rPr>
              <w:t>88.629,84</w:t>
            </w:r>
          </w:p>
        </w:tc>
        <w:tc>
          <w:tcPr>
            <w:tcW w:w="1860" w:type="dxa"/>
            <w:tcMar>
              <w:top w:w="0" w:type="dxa"/>
              <w:bottom w:w="0" w:type="dxa"/>
            </w:tcMar>
            <w:vAlign w:val="center"/>
          </w:tcPr>
          <w:p w14:paraId="65B27CD9" w14:textId="77777777" w:rsidR="00E66105" w:rsidRDefault="00000000">
            <w:pPr>
              <w:keepNext/>
              <w:keepLines/>
              <w:spacing w:after="0" w:line="240" w:lineRule="auto"/>
              <w:jc w:val="right"/>
            </w:pPr>
            <w:r>
              <w:rPr>
                <w:sz w:val="18"/>
              </w:rPr>
              <w:t>103.603,78</w:t>
            </w:r>
          </w:p>
        </w:tc>
        <w:tc>
          <w:tcPr>
            <w:tcW w:w="700" w:type="dxa"/>
            <w:tcMar>
              <w:top w:w="0" w:type="dxa"/>
              <w:bottom w:w="0" w:type="dxa"/>
            </w:tcMar>
            <w:vAlign w:val="center"/>
          </w:tcPr>
          <w:p w14:paraId="0B6C6BCC" w14:textId="77777777" w:rsidR="00E66105" w:rsidRDefault="00000000">
            <w:pPr>
              <w:keepNext/>
              <w:keepLines/>
              <w:spacing w:after="0" w:line="240" w:lineRule="auto"/>
              <w:jc w:val="right"/>
            </w:pPr>
            <w:r>
              <w:rPr>
                <w:sz w:val="18"/>
              </w:rPr>
              <w:t>116,9</w:t>
            </w:r>
          </w:p>
        </w:tc>
      </w:tr>
    </w:tbl>
    <w:p w14:paraId="41297E48" w14:textId="77777777" w:rsidR="00E66105" w:rsidRDefault="00E66105">
      <w:pPr>
        <w:spacing w:after="0"/>
      </w:pPr>
    </w:p>
    <w:p w14:paraId="6FDE6400" w14:textId="77777777" w:rsidR="00E66105" w:rsidRDefault="00000000">
      <w:r>
        <w:t>Prihodi od upravnih i administrativnih pristojbi, pristojbi po posebnim propisima i naknada ostvareni su u iznosu 103.603,78 EUR odnosno 16,9% u odnosu na prethodnu godinu. Navedeni prihodi se odnose na sufinanciranje cijene usluge, participacije i slično. Ovi prihodi bilježe povećanje zbog formiranja jedne skupine više od 01.09.2025.</w:t>
      </w:r>
    </w:p>
    <w:p w14:paraId="41AF37A8" w14:textId="77777777" w:rsidR="00E66105" w:rsidRDefault="00E66105"/>
    <w:p w14:paraId="79F6F1FB" w14:textId="77777777" w:rsidR="00E6610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115EE1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AE351B"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37F74B"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16D1B5"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780850"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E3ACC5"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67D4E4" w14:textId="77777777" w:rsidR="00E66105" w:rsidRDefault="00000000">
            <w:pPr>
              <w:keepNext/>
              <w:keepLines/>
              <w:spacing w:after="0" w:line="240" w:lineRule="auto"/>
              <w:jc w:val="center"/>
            </w:pPr>
            <w:r>
              <w:rPr>
                <w:b/>
                <w:sz w:val="18"/>
              </w:rPr>
              <w:t>Indeks (%)</w:t>
            </w:r>
          </w:p>
        </w:tc>
      </w:tr>
      <w:tr w:rsidR="00E66105" w14:paraId="4083AE36" w14:textId="77777777">
        <w:tblPrEx>
          <w:tblCellMar>
            <w:top w:w="0" w:type="dxa"/>
            <w:bottom w:w="0" w:type="dxa"/>
          </w:tblCellMar>
        </w:tblPrEx>
        <w:trPr>
          <w:cantSplit/>
          <w:trHeight w:val="560"/>
        </w:trPr>
        <w:tc>
          <w:tcPr>
            <w:tcW w:w="700" w:type="dxa"/>
            <w:tcMar>
              <w:top w:w="0" w:type="dxa"/>
              <w:bottom w:w="0" w:type="dxa"/>
            </w:tcMar>
            <w:vAlign w:val="center"/>
          </w:tcPr>
          <w:p w14:paraId="00059D0C" w14:textId="77777777" w:rsidR="00E66105" w:rsidRDefault="00000000">
            <w:pPr>
              <w:keepNext/>
              <w:keepLines/>
              <w:spacing w:after="0" w:line="240" w:lineRule="auto"/>
            </w:pPr>
            <w:r>
              <w:rPr>
                <w:sz w:val="18"/>
              </w:rPr>
              <w:t>66</w:t>
            </w:r>
          </w:p>
        </w:tc>
        <w:tc>
          <w:tcPr>
            <w:tcW w:w="3180" w:type="dxa"/>
            <w:tcMar>
              <w:top w:w="0" w:type="dxa"/>
              <w:bottom w:w="0" w:type="dxa"/>
            </w:tcMar>
            <w:vAlign w:val="center"/>
          </w:tcPr>
          <w:p w14:paraId="726682FD" w14:textId="77777777" w:rsidR="00E66105"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61BC1580" w14:textId="77777777" w:rsidR="00E66105" w:rsidRDefault="00000000">
            <w:pPr>
              <w:keepNext/>
              <w:keepLines/>
              <w:spacing w:after="0" w:line="240" w:lineRule="auto"/>
            </w:pPr>
            <w:r>
              <w:rPr>
                <w:sz w:val="18"/>
              </w:rPr>
              <w:t>66</w:t>
            </w:r>
          </w:p>
        </w:tc>
        <w:tc>
          <w:tcPr>
            <w:tcW w:w="1860" w:type="dxa"/>
            <w:tcMar>
              <w:top w:w="0" w:type="dxa"/>
              <w:bottom w:w="0" w:type="dxa"/>
            </w:tcMar>
            <w:vAlign w:val="center"/>
          </w:tcPr>
          <w:p w14:paraId="0791C55E" w14:textId="77777777" w:rsidR="00E66105" w:rsidRDefault="00000000">
            <w:pPr>
              <w:keepNext/>
              <w:keepLines/>
              <w:spacing w:after="0" w:line="240" w:lineRule="auto"/>
              <w:jc w:val="right"/>
            </w:pPr>
            <w:r>
              <w:rPr>
                <w:sz w:val="18"/>
              </w:rPr>
              <w:t>2.579,45</w:t>
            </w:r>
          </w:p>
        </w:tc>
        <w:tc>
          <w:tcPr>
            <w:tcW w:w="1860" w:type="dxa"/>
            <w:tcMar>
              <w:top w:w="0" w:type="dxa"/>
              <w:bottom w:w="0" w:type="dxa"/>
            </w:tcMar>
            <w:vAlign w:val="center"/>
          </w:tcPr>
          <w:p w14:paraId="7E4D4FE8" w14:textId="77777777" w:rsidR="00E66105" w:rsidRDefault="00000000">
            <w:pPr>
              <w:keepNext/>
              <w:keepLines/>
              <w:spacing w:after="0" w:line="240" w:lineRule="auto"/>
              <w:jc w:val="right"/>
            </w:pPr>
            <w:r>
              <w:rPr>
                <w:sz w:val="18"/>
              </w:rPr>
              <w:t>5.800,00</w:t>
            </w:r>
          </w:p>
        </w:tc>
        <w:tc>
          <w:tcPr>
            <w:tcW w:w="700" w:type="dxa"/>
            <w:tcMar>
              <w:top w:w="0" w:type="dxa"/>
              <w:bottom w:w="0" w:type="dxa"/>
            </w:tcMar>
            <w:vAlign w:val="center"/>
          </w:tcPr>
          <w:p w14:paraId="76FF704A" w14:textId="77777777" w:rsidR="00E66105" w:rsidRDefault="00000000">
            <w:pPr>
              <w:keepNext/>
              <w:keepLines/>
              <w:spacing w:after="0" w:line="240" w:lineRule="auto"/>
              <w:jc w:val="right"/>
            </w:pPr>
            <w:r>
              <w:rPr>
                <w:sz w:val="18"/>
              </w:rPr>
              <w:t>224,9</w:t>
            </w:r>
          </w:p>
        </w:tc>
      </w:tr>
    </w:tbl>
    <w:p w14:paraId="16BF13AE" w14:textId="77777777" w:rsidR="00E66105" w:rsidRDefault="00E66105">
      <w:pPr>
        <w:spacing w:after="0"/>
      </w:pPr>
    </w:p>
    <w:p w14:paraId="3B62A752" w14:textId="77777777" w:rsidR="00E66105" w:rsidRDefault="00000000">
      <w:r>
        <w:lastRenderedPageBreak/>
        <w:t>Prihodi od prodaje proizvoda i robe te pruženih usluga, prihodi od donacija te povrati po protestiranim jamstvima ostvareni su u iznosu od 5.800,00 EUR, odnosno 124,90% više u odnosu na prethodnu godinu. Navedeni prihodi se odnose na donacije.</w:t>
      </w:r>
    </w:p>
    <w:p w14:paraId="52B9B59A" w14:textId="77777777" w:rsidR="00E66105" w:rsidRDefault="00E66105"/>
    <w:p w14:paraId="3978B35B" w14:textId="77777777" w:rsidR="00E6610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4A7537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857ECD"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5E6906"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EFC9E6"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21314E"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6D5262"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FE4A4D" w14:textId="77777777" w:rsidR="00E66105" w:rsidRDefault="00000000">
            <w:pPr>
              <w:keepNext/>
              <w:keepLines/>
              <w:spacing w:after="0" w:line="240" w:lineRule="auto"/>
              <w:jc w:val="center"/>
            </w:pPr>
            <w:r>
              <w:rPr>
                <w:b/>
                <w:sz w:val="18"/>
              </w:rPr>
              <w:t>Indeks (%)</w:t>
            </w:r>
          </w:p>
        </w:tc>
      </w:tr>
      <w:tr w:rsidR="00E66105" w14:paraId="5D681327" w14:textId="77777777">
        <w:tblPrEx>
          <w:tblCellMar>
            <w:top w:w="0" w:type="dxa"/>
            <w:bottom w:w="0" w:type="dxa"/>
          </w:tblCellMar>
        </w:tblPrEx>
        <w:trPr>
          <w:cantSplit/>
          <w:trHeight w:val="560"/>
        </w:trPr>
        <w:tc>
          <w:tcPr>
            <w:tcW w:w="700" w:type="dxa"/>
            <w:tcMar>
              <w:top w:w="0" w:type="dxa"/>
              <w:bottom w:w="0" w:type="dxa"/>
            </w:tcMar>
            <w:vAlign w:val="center"/>
          </w:tcPr>
          <w:p w14:paraId="0DDF06F0" w14:textId="77777777" w:rsidR="00E66105" w:rsidRDefault="00000000">
            <w:pPr>
              <w:keepNext/>
              <w:keepLines/>
              <w:spacing w:after="0" w:line="240" w:lineRule="auto"/>
            </w:pPr>
            <w:r>
              <w:rPr>
                <w:sz w:val="18"/>
              </w:rPr>
              <w:t>67</w:t>
            </w:r>
          </w:p>
        </w:tc>
        <w:tc>
          <w:tcPr>
            <w:tcW w:w="3180" w:type="dxa"/>
            <w:tcMar>
              <w:top w:w="0" w:type="dxa"/>
              <w:bottom w:w="0" w:type="dxa"/>
            </w:tcMar>
            <w:vAlign w:val="center"/>
          </w:tcPr>
          <w:p w14:paraId="4019EC12" w14:textId="77777777" w:rsidR="00E66105"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D8241EF" w14:textId="77777777" w:rsidR="00E66105" w:rsidRDefault="00000000">
            <w:pPr>
              <w:keepNext/>
              <w:keepLines/>
              <w:spacing w:after="0" w:line="240" w:lineRule="auto"/>
            </w:pPr>
            <w:r>
              <w:rPr>
                <w:sz w:val="18"/>
              </w:rPr>
              <w:t>67</w:t>
            </w:r>
          </w:p>
        </w:tc>
        <w:tc>
          <w:tcPr>
            <w:tcW w:w="1860" w:type="dxa"/>
            <w:tcMar>
              <w:top w:w="0" w:type="dxa"/>
              <w:bottom w:w="0" w:type="dxa"/>
            </w:tcMar>
            <w:vAlign w:val="center"/>
          </w:tcPr>
          <w:p w14:paraId="49284E08" w14:textId="77777777" w:rsidR="00E66105" w:rsidRDefault="00000000">
            <w:pPr>
              <w:keepNext/>
              <w:keepLines/>
              <w:spacing w:after="0" w:line="240" w:lineRule="auto"/>
              <w:jc w:val="right"/>
            </w:pPr>
            <w:r>
              <w:rPr>
                <w:sz w:val="18"/>
              </w:rPr>
              <w:t>371.347,01</w:t>
            </w:r>
          </w:p>
        </w:tc>
        <w:tc>
          <w:tcPr>
            <w:tcW w:w="1860" w:type="dxa"/>
            <w:tcMar>
              <w:top w:w="0" w:type="dxa"/>
              <w:bottom w:w="0" w:type="dxa"/>
            </w:tcMar>
            <w:vAlign w:val="center"/>
          </w:tcPr>
          <w:p w14:paraId="2A466B70" w14:textId="77777777" w:rsidR="00E66105" w:rsidRDefault="00000000">
            <w:pPr>
              <w:keepNext/>
              <w:keepLines/>
              <w:spacing w:after="0" w:line="240" w:lineRule="auto"/>
              <w:jc w:val="right"/>
            </w:pPr>
            <w:r>
              <w:rPr>
                <w:sz w:val="18"/>
              </w:rPr>
              <w:t>467.855,71</w:t>
            </w:r>
          </w:p>
        </w:tc>
        <w:tc>
          <w:tcPr>
            <w:tcW w:w="700" w:type="dxa"/>
            <w:tcMar>
              <w:top w:w="0" w:type="dxa"/>
              <w:bottom w:w="0" w:type="dxa"/>
            </w:tcMar>
            <w:vAlign w:val="center"/>
          </w:tcPr>
          <w:p w14:paraId="6A947C0E" w14:textId="77777777" w:rsidR="00E66105" w:rsidRDefault="00000000">
            <w:pPr>
              <w:keepNext/>
              <w:keepLines/>
              <w:spacing w:after="0" w:line="240" w:lineRule="auto"/>
              <w:jc w:val="right"/>
            </w:pPr>
            <w:r>
              <w:rPr>
                <w:sz w:val="18"/>
              </w:rPr>
              <w:t>126,0</w:t>
            </w:r>
          </w:p>
        </w:tc>
      </w:tr>
    </w:tbl>
    <w:p w14:paraId="7CB3B8D9" w14:textId="77777777" w:rsidR="00E66105" w:rsidRDefault="00E66105">
      <w:pPr>
        <w:spacing w:after="0"/>
      </w:pPr>
    </w:p>
    <w:p w14:paraId="15C75C70" w14:textId="77777777" w:rsidR="00E66105" w:rsidRDefault="00000000">
      <w:r>
        <w:t>Prihodi iz nadležnog proračuna za financiranje rashoda poslovanja ostvareni su u iznosu od 464.855,71 EUR i veći su za 26,0 % u odnosu na ostvarenje u izvještajnom razdoblju prethodne godine. Od ukupno ostvarenih prihoda, iznos od 445.115,71 EUR doznačen je iz izvora financiranja: opći prihodi i primici proračuna Općine Ližnjan (Na temelju Odluke o načinu utvrđivanja plaća za djelatnike u Dječjem vrtiću „Bubamara“ koje se financiraju iz proračuna Općine Ližnjan i izmjena Kolektivnog ugovora, povećani su koeficijenti i osnovica za obračun plaće djelatnika, te su samim time doznačena veća sredstva za rashode za zaposlene u odnosu na prethodnu godinu), a iznos od 22.740,00 EUR doznačen je iz izvora financiranja: pomoći iz državnog proračuna. Na temelju odredbi Uredbe o kriterijima i mjerilima za utvrđivanje iznosa sredstava za fiskalnu održivost dječjih vrtića i odredbi Odluke o dodjeli sredstava za fiskalnu održivost dječjih vrtića za pedagošku godinu 2024./2025. i odredbi Odluke o dodjeli sredstava za fiskalnu održivost dječjih vrtića za pedagošku godinu 2025./2026. doznačena su sredstva za financiranje fiskalne održivosti dječjeg vrtića za cijelu 2025. godinu)</w:t>
      </w:r>
    </w:p>
    <w:p w14:paraId="1C31F50E" w14:textId="77777777" w:rsidR="00E66105" w:rsidRDefault="00E66105"/>
    <w:p w14:paraId="4392CEB0" w14:textId="77777777" w:rsidR="00E6610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70559C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0FFD0B"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6B774B"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CC7274"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4FAFCC"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17EEEA"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355DA0" w14:textId="77777777" w:rsidR="00E66105" w:rsidRDefault="00000000">
            <w:pPr>
              <w:keepNext/>
              <w:keepLines/>
              <w:spacing w:after="0" w:line="240" w:lineRule="auto"/>
              <w:jc w:val="center"/>
            </w:pPr>
            <w:r>
              <w:rPr>
                <w:b/>
                <w:sz w:val="18"/>
              </w:rPr>
              <w:t>Indeks (%)</w:t>
            </w:r>
          </w:p>
        </w:tc>
      </w:tr>
      <w:tr w:rsidR="00E66105" w14:paraId="5167ADD6" w14:textId="77777777">
        <w:tblPrEx>
          <w:tblCellMar>
            <w:top w:w="0" w:type="dxa"/>
            <w:bottom w:w="0" w:type="dxa"/>
          </w:tblCellMar>
        </w:tblPrEx>
        <w:trPr>
          <w:cantSplit/>
          <w:trHeight w:val="560"/>
        </w:trPr>
        <w:tc>
          <w:tcPr>
            <w:tcW w:w="700" w:type="dxa"/>
            <w:tcMar>
              <w:top w:w="0" w:type="dxa"/>
              <w:bottom w:w="0" w:type="dxa"/>
            </w:tcMar>
            <w:vAlign w:val="center"/>
          </w:tcPr>
          <w:p w14:paraId="1F5102F5" w14:textId="77777777" w:rsidR="00E66105" w:rsidRDefault="00000000">
            <w:pPr>
              <w:keepNext/>
              <w:keepLines/>
              <w:spacing w:after="0" w:line="240" w:lineRule="auto"/>
            </w:pPr>
            <w:r>
              <w:rPr>
                <w:sz w:val="18"/>
              </w:rPr>
              <w:t>3</w:t>
            </w:r>
          </w:p>
        </w:tc>
        <w:tc>
          <w:tcPr>
            <w:tcW w:w="3180" w:type="dxa"/>
            <w:tcMar>
              <w:top w:w="0" w:type="dxa"/>
              <w:bottom w:w="0" w:type="dxa"/>
            </w:tcMar>
            <w:vAlign w:val="center"/>
          </w:tcPr>
          <w:p w14:paraId="01EB2F46" w14:textId="77777777" w:rsidR="00E6610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68141BC" w14:textId="77777777" w:rsidR="00E66105" w:rsidRDefault="00000000">
            <w:pPr>
              <w:keepNext/>
              <w:keepLines/>
              <w:spacing w:after="0" w:line="240" w:lineRule="auto"/>
            </w:pPr>
            <w:r>
              <w:rPr>
                <w:sz w:val="18"/>
              </w:rPr>
              <w:t>3</w:t>
            </w:r>
          </w:p>
        </w:tc>
        <w:tc>
          <w:tcPr>
            <w:tcW w:w="1860" w:type="dxa"/>
            <w:tcMar>
              <w:top w:w="0" w:type="dxa"/>
              <w:bottom w:w="0" w:type="dxa"/>
            </w:tcMar>
            <w:vAlign w:val="center"/>
          </w:tcPr>
          <w:p w14:paraId="17C390B5" w14:textId="77777777" w:rsidR="00E66105" w:rsidRDefault="00000000">
            <w:pPr>
              <w:keepNext/>
              <w:keepLines/>
              <w:spacing w:after="0" w:line="240" w:lineRule="auto"/>
              <w:jc w:val="right"/>
            </w:pPr>
            <w:r>
              <w:rPr>
                <w:sz w:val="18"/>
              </w:rPr>
              <w:t>458.938,99</w:t>
            </w:r>
          </w:p>
        </w:tc>
        <w:tc>
          <w:tcPr>
            <w:tcW w:w="1860" w:type="dxa"/>
            <w:tcMar>
              <w:top w:w="0" w:type="dxa"/>
              <w:bottom w:w="0" w:type="dxa"/>
            </w:tcMar>
            <w:vAlign w:val="center"/>
          </w:tcPr>
          <w:p w14:paraId="44933E34" w14:textId="77777777" w:rsidR="00E66105" w:rsidRDefault="00000000">
            <w:pPr>
              <w:keepNext/>
              <w:keepLines/>
              <w:spacing w:after="0" w:line="240" w:lineRule="auto"/>
              <w:jc w:val="right"/>
            </w:pPr>
            <w:r>
              <w:rPr>
                <w:sz w:val="18"/>
              </w:rPr>
              <w:t>568.803,60</w:t>
            </w:r>
          </w:p>
        </w:tc>
        <w:tc>
          <w:tcPr>
            <w:tcW w:w="700" w:type="dxa"/>
            <w:tcMar>
              <w:top w:w="0" w:type="dxa"/>
              <w:bottom w:w="0" w:type="dxa"/>
            </w:tcMar>
            <w:vAlign w:val="center"/>
          </w:tcPr>
          <w:p w14:paraId="5FC6318C" w14:textId="77777777" w:rsidR="00E66105" w:rsidRDefault="00000000">
            <w:pPr>
              <w:keepNext/>
              <w:keepLines/>
              <w:spacing w:after="0" w:line="240" w:lineRule="auto"/>
              <w:jc w:val="right"/>
            </w:pPr>
            <w:r>
              <w:rPr>
                <w:sz w:val="18"/>
              </w:rPr>
              <w:t>123,9</w:t>
            </w:r>
          </w:p>
        </w:tc>
      </w:tr>
    </w:tbl>
    <w:p w14:paraId="1184CCC0" w14:textId="77777777" w:rsidR="00E66105" w:rsidRDefault="00E66105">
      <w:pPr>
        <w:spacing w:after="0"/>
      </w:pPr>
    </w:p>
    <w:p w14:paraId="2EAFABB5" w14:textId="77777777" w:rsidR="00E66105" w:rsidRDefault="00000000">
      <w:r>
        <w:t>Rashodi poslovanja ostvareni su u iznosu od 568.803,60 EUR odnosno 23,9% više u odnosu na prethodnu godinu. Najveće odstupanje je u rashodima za plaće, koji su ostvareni 27,4% više u odnosu na prethodnu godinu. </w:t>
      </w:r>
    </w:p>
    <w:p w14:paraId="245AFCF2" w14:textId="77777777" w:rsidR="00E66105" w:rsidRDefault="00000000">
      <w:r>
        <w:t>U tablici koja slijedi daje se pregled izvršenih rashoda poslovanja za razdoblje I-XII 2025. godine.</w:t>
      </w:r>
    </w:p>
    <w:tbl>
      <w:tblPr>
        <w:tblStyle w:val="Reetkatablice"/>
        <w:tblW w:w="4654" w:type="pct"/>
        <w:tblLook w:val="04A0" w:firstRow="1" w:lastRow="0" w:firstColumn="1" w:lastColumn="0" w:noHBand="0" w:noVBand="1"/>
      </w:tblPr>
      <w:tblGrid>
        <w:gridCol w:w="1169"/>
        <w:gridCol w:w="2186"/>
        <w:gridCol w:w="1631"/>
        <w:gridCol w:w="1648"/>
        <w:gridCol w:w="1801"/>
      </w:tblGrid>
      <w:tr w:rsidR="00E66105" w14:paraId="3C7AC24F" w14:textId="77777777">
        <w:trPr>
          <w:trHeight w:val="878"/>
        </w:trPr>
        <w:tc>
          <w:tcPr>
            <w:tcW w:w="625" w:type="pct"/>
            <w:vAlign w:val="center"/>
          </w:tcPr>
          <w:p w14:paraId="51A6A09C" w14:textId="77777777" w:rsidR="00E66105" w:rsidRDefault="00000000">
            <w:pPr>
              <w:keepNext/>
              <w:jc w:val="center"/>
            </w:pPr>
            <w:r>
              <w:lastRenderedPageBreak/>
              <w:t>Račun iz Rač.plana</w:t>
            </w:r>
          </w:p>
        </w:tc>
        <w:tc>
          <w:tcPr>
            <w:tcW w:w="1312" w:type="pct"/>
            <w:vAlign w:val="center"/>
          </w:tcPr>
          <w:p w14:paraId="006C7291" w14:textId="77777777" w:rsidR="00E66105" w:rsidRDefault="00000000">
            <w:pPr>
              <w:keepNext/>
              <w:jc w:val="center"/>
            </w:pPr>
            <w:r>
              <w:t>Opis stavke</w:t>
            </w:r>
          </w:p>
        </w:tc>
        <w:tc>
          <w:tcPr>
            <w:tcW w:w="983" w:type="pct"/>
            <w:vAlign w:val="center"/>
          </w:tcPr>
          <w:p w14:paraId="5B73DBBF" w14:textId="77777777" w:rsidR="00E66105" w:rsidRDefault="00000000">
            <w:pPr>
              <w:keepNext/>
              <w:jc w:val="center"/>
            </w:pPr>
            <w:r>
              <w:t>2024.</w:t>
            </w:r>
          </w:p>
        </w:tc>
        <w:tc>
          <w:tcPr>
            <w:tcW w:w="993" w:type="pct"/>
            <w:vAlign w:val="center"/>
          </w:tcPr>
          <w:p w14:paraId="06C21BA3" w14:textId="77777777" w:rsidR="00E66105" w:rsidRDefault="00000000">
            <w:pPr>
              <w:keepNext/>
              <w:jc w:val="center"/>
            </w:pPr>
            <w:r>
              <w:t>2025.</w:t>
            </w:r>
          </w:p>
        </w:tc>
        <w:tc>
          <w:tcPr>
            <w:tcW w:w="1084" w:type="pct"/>
            <w:vAlign w:val="center"/>
          </w:tcPr>
          <w:p w14:paraId="5FAAF4B6" w14:textId="77777777" w:rsidR="00E66105" w:rsidRDefault="00000000">
            <w:pPr>
              <w:keepNext/>
              <w:jc w:val="center"/>
            </w:pPr>
            <w:r>
              <w:t>Indeks</w:t>
            </w:r>
          </w:p>
        </w:tc>
      </w:tr>
      <w:tr w:rsidR="00E66105" w14:paraId="26148B8E" w14:textId="77777777">
        <w:trPr>
          <w:trHeight w:val="542"/>
        </w:trPr>
        <w:tc>
          <w:tcPr>
            <w:tcW w:w="625" w:type="pct"/>
            <w:vAlign w:val="center"/>
          </w:tcPr>
          <w:p w14:paraId="4C7D2285" w14:textId="77777777" w:rsidR="00E66105" w:rsidRDefault="00000000">
            <w:pPr>
              <w:keepNext/>
              <w:jc w:val="center"/>
            </w:pPr>
            <w:r>
              <w:t>31</w:t>
            </w:r>
          </w:p>
        </w:tc>
        <w:tc>
          <w:tcPr>
            <w:tcW w:w="1312" w:type="pct"/>
            <w:vAlign w:val="center"/>
          </w:tcPr>
          <w:p w14:paraId="77A22FA4" w14:textId="77777777" w:rsidR="00E66105" w:rsidRDefault="00000000">
            <w:pPr>
              <w:keepNext/>
              <w:jc w:val="center"/>
            </w:pPr>
            <w:r>
              <w:t>Rashodi za zaposlene</w:t>
            </w:r>
          </w:p>
        </w:tc>
        <w:tc>
          <w:tcPr>
            <w:tcW w:w="983" w:type="pct"/>
            <w:vAlign w:val="center"/>
          </w:tcPr>
          <w:p w14:paraId="240A92ED" w14:textId="77777777" w:rsidR="00E66105" w:rsidRDefault="00000000">
            <w:pPr>
              <w:keepNext/>
              <w:jc w:val="center"/>
            </w:pPr>
            <w:r>
              <w:t>345.941,24</w:t>
            </w:r>
          </w:p>
        </w:tc>
        <w:tc>
          <w:tcPr>
            <w:tcW w:w="993" w:type="pct"/>
            <w:vAlign w:val="center"/>
          </w:tcPr>
          <w:p w14:paraId="44B35AC0" w14:textId="77777777" w:rsidR="00E66105" w:rsidRDefault="00000000">
            <w:pPr>
              <w:keepNext/>
              <w:jc w:val="center"/>
            </w:pPr>
            <w:r>
              <w:t>440.829,74</w:t>
            </w:r>
          </w:p>
        </w:tc>
        <w:tc>
          <w:tcPr>
            <w:tcW w:w="1084" w:type="pct"/>
            <w:vAlign w:val="center"/>
          </w:tcPr>
          <w:p w14:paraId="2FAD4A9F" w14:textId="77777777" w:rsidR="00E66105" w:rsidRDefault="00000000">
            <w:pPr>
              <w:keepNext/>
              <w:jc w:val="center"/>
            </w:pPr>
            <w:r>
              <w:t>127,4</w:t>
            </w:r>
          </w:p>
        </w:tc>
      </w:tr>
      <w:tr w:rsidR="00E66105" w14:paraId="786FF625" w14:textId="77777777">
        <w:trPr>
          <w:trHeight w:val="542"/>
        </w:trPr>
        <w:tc>
          <w:tcPr>
            <w:tcW w:w="625" w:type="pct"/>
            <w:vAlign w:val="center"/>
          </w:tcPr>
          <w:p w14:paraId="7D3A9F99" w14:textId="77777777" w:rsidR="00E66105" w:rsidRDefault="00000000">
            <w:pPr>
              <w:keepNext/>
              <w:jc w:val="center"/>
            </w:pPr>
            <w:r>
              <w:t>32</w:t>
            </w:r>
          </w:p>
        </w:tc>
        <w:tc>
          <w:tcPr>
            <w:tcW w:w="1312" w:type="pct"/>
            <w:vAlign w:val="center"/>
          </w:tcPr>
          <w:p w14:paraId="4D09A8B1" w14:textId="77777777" w:rsidR="00E66105" w:rsidRDefault="00000000">
            <w:pPr>
              <w:keepNext/>
              <w:jc w:val="center"/>
            </w:pPr>
            <w:r>
              <w:t>Materijalni rashodi</w:t>
            </w:r>
          </w:p>
        </w:tc>
        <w:tc>
          <w:tcPr>
            <w:tcW w:w="983" w:type="pct"/>
            <w:vAlign w:val="center"/>
          </w:tcPr>
          <w:p w14:paraId="06996EBD" w14:textId="77777777" w:rsidR="00E66105" w:rsidRDefault="00000000">
            <w:pPr>
              <w:keepNext/>
              <w:jc w:val="center"/>
            </w:pPr>
            <w:r>
              <w:t>111.605,12</w:t>
            </w:r>
          </w:p>
        </w:tc>
        <w:tc>
          <w:tcPr>
            <w:tcW w:w="993" w:type="pct"/>
            <w:vAlign w:val="center"/>
          </w:tcPr>
          <w:p w14:paraId="4739F35F" w14:textId="77777777" w:rsidR="00E66105" w:rsidRDefault="00000000">
            <w:pPr>
              <w:keepNext/>
              <w:jc w:val="center"/>
            </w:pPr>
            <w:r>
              <w:t>126.980,11</w:t>
            </w:r>
          </w:p>
        </w:tc>
        <w:tc>
          <w:tcPr>
            <w:tcW w:w="1084" w:type="pct"/>
            <w:vAlign w:val="center"/>
          </w:tcPr>
          <w:p w14:paraId="153A4B85" w14:textId="77777777" w:rsidR="00E66105" w:rsidRDefault="00000000">
            <w:pPr>
              <w:keepNext/>
              <w:jc w:val="center"/>
            </w:pPr>
            <w:r>
              <w:t>113,8</w:t>
            </w:r>
          </w:p>
        </w:tc>
      </w:tr>
      <w:tr w:rsidR="00E66105" w14:paraId="6129698D" w14:textId="77777777">
        <w:trPr>
          <w:trHeight w:val="542"/>
        </w:trPr>
        <w:tc>
          <w:tcPr>
            <w:tcW w:w="625" w:type="pct"/>
            <w:vAlign w:val="center"/>
          </w:tcPr>
          <w:p w14:paraId="7A42D88F" w14:textId="77777777" w:rsidR="00E66105" w:rsidRDefault="00000000">
            <w:pPr>
              <w:keepNext/>
              <w:jc w:val="center"/>
            </w:pPr>
            <w:r>
              <w:t>34</w:t>
            </w:r>
          </w:p>
        </w:tc>
        <w:tc>
          <w:tcPr>
            <w:tcW w:w="1312" w:type="pct"/>
            <w:vAlign w:val="center"/>
          </w:tcPr>
          <w:p w14:paraId="717ACE2C" w14:textId="77777777" w:rsidR="00E66105" w:rsidRDefault="00000000">
            <w:pPr>
              <w:keepNext/>
              <w:jc w:val="center"/>
            </w:pPr>
            <w:r>
              <w:t>Financijski rashodi</w:t>
            </w:r>
          </w:p>
        </w:tc>
        <w:tc>
          <w:tcPr>
            <w:tcW w:w="983" w:type="pct"/>
            <w:vAlign w:val="center"/>
          </w:tcPr>
          <w:p w14:paraId="0F44614D" w14:textId="77777777" w:rsidR="00E66105" w:rsidRDefault="00000000">
            <w:pPr>
              <w:keepNext/>
              <w:jc w:val="center"/>
            </w:pPr>
            <w:r>
              <w:t>1.392,63</w:t>
            </w:r>
          </w:p>
        </w:tc>
        <w:tc>
          <w:tcPr>
            <w:tcW w:w="993" w:type="pct"/>
            <w:vAlign w:val="center"/>
          </w:tcPr>
          <w:p w14:paraId="4D558F6E" w14:textId="77777777" w:rsidR="00E66105" w:rsidRDefault="00000000">
            <w:pPr>
              <w:keepNext/>
              <w:jc w:val="center"/>
            </w:pPr>
            <w:r>
              <w:t>993,75</w:t>
            </w:r>
          </w:p>
        </w:tc>
        <w:tc>
          <w:tcPr>
            <w:tcW w:w="1084" w:type="pct"/>
            <w:vAlign w:val="center"/>
          </w:tcPr>
          <w:p w14:paraId="666C3B3C" w14:textId="77777777" w:rsidR="00E66105" w:rsidRDefault="00000000">
            <w:pPr>
              <w:keepNext/>
              <w:jc w:val="center"/>
            </w:pPr>
            <w:r>
              <w:t>71,4</w:t>
            </w:r>
          </w:p>
        </w:tc>
      </w:tr>
    </w:tbl>
    <w:p w14:paraId="0CC330A0" w14:textId="77777777" w:rsidR="00E66105" w:rsidRDefault="00000000">
      <w:r>
        <w:t> </w:t>
      </w:r>
    </w:p>
    <w:p w14:paraId="372D1AE7" w14:textId="77777777" w:rsidR="00E66105" w:rsidRDefault="00E66105"/>
    <w:p w14:paraId="586DF346" w14:textId="77777777" w:rsidR="00E6610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35DE01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1A98BA"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61D84F"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B42624"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280BF2"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5F06BA"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91CFCF" w14:textId="77777777" w:rsidR="00E66105" w:rsidRDefault="00000000">
            <w:pPr>
              <w:keepNext/>
              <w:keepLines/>
              <w:spacing w:after="0" w:line="240" w:lineRule="auto"/>
              <w:jc w:val="center"/>
            </w:pPr>
            <w:r>
              <w:rPr>
                <w:b/>
                <w:sz w:val="18"/>
              </w:rPr>
              <w:t>Indeks (%)</w:t>
            </w:r>
          </w:p>
        </w:tc>
      </w:tr>
      <w:tr w:rsidR="00E66105" w14:paraId="7CF34AFA" w14:textId="77777777">
        <w:tblPrEx>
          <w:tblCellMar>
            <w:top w:w="0" w:type="dxa"/>
            <w:bottom w:w="0" w:type="dxa"/>
          </w:tblCellMar>
        </w:tblPrEx>
        <w:trPr>
          <w:cantSplit/>
          <w:trHeight w:val="560"/>
        </w:trPr>
        <w:tc>
          <w:tcPr>
            <w:tcW w:w="700" w:type="dxa"/>
            <w:tcMar>
              <w:top w:w="0" w:type="dxa"/>
              <w:bottom w:w="0" w:type="dxa"/>
            </w:tcMar>
            <w:vAlign w:val="center"/>
          </w:tcPr>
          <w:p w14:paraId="20EE8339" w14:textId="77777777" w:rsidR="00E66105" w:rsidRDefault="00000000">
            <w:pPr>
              <w:keepNext/>
              <w:keepLines/>
              <w:spacing w:after="0" w:line="240" w:lineRule="auto"/>
            </w:pPr>
            <w:r>
              <w:rPr>
                <w:sz w:val="18"/>
              </w:rPr>
              <w:t>31</w:t>
            </w:r>
          </w:p>
        </w:tc>
        <w:tc>
          <w:tcPr>
            <w:tcW w:w="3180" w:type="dxa"/>
            <w:tcMar>
              <w:top w:w="0" w:type="dxa"/>
              <w:bottom w:w="0" w:type="dxa"/>
            </w:tcMar>
            <w:vAlign w:val="center"/>
          </w:tcPr>
          <w:p w14:paraId="792CE4FD" w14:textId="77777777" w:rsidR="00E6610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A59C275" w14:textId="77777777" w:rsidR="00E66105" w:rsidRDefault="00000000">
            <w:pPr>
              <w:keepNext/>
              <w:keepLines/>
              <w:spacing w:after="0" w:line="240" w:lineRule="auto"/>
            </w:pPr>
            <w:r>
              <w:rPr>
                <w:sz w:val="18"/>
              </w:rPr>
              <w:t>31</w:t>
            </w:r>
          </w:p>
        </w:tc>
        <w:tc>
          <w:tcPr>
            <w:tcW w:w="1860" w:type="dxa"/>
            <w:tcMar>
              <w:top w:w="0" w:type="dxa"/>
              <w:bottom w:w="0" w:type="dxa"/>
            </w:tcMar>
            <w:vAlign w:val="center"/>
          </w:tcPr>
          <w:p w14:paraId="7085E8C7" w14:textId="77777777" w:rsidR="00E66105" w:rsidRDefault="00000000">
            <w:pPr>
              <w:keepNext/>
              <w:keepLines/>
              <w:spacing w:after="0" w:line="240" w:lineRule="auto"/>
              <w:jc w:val="right"/>
            </w:pPr>
            <w:r>
              <w:rPr>
                <w:sz w:val="18"/>
              </w:rPr>
              <w:t>345.941,24</w:t>
            </w:r>
          </w:p>
        </w:tc>
        <w:tc>
          <w:tcPr>
            <w:tcW w:w="1860" w:type="dxa"/>
            <w:tcMar>
              <w:top w:w="0" w:type="dxa"/>
              <w:bottom w:w="0" w:type="dxa"/>
            </w:tcMar>
            <w:vAlign w:val="center"/>
          </w:tcPr>
          <w:p w14:paraId="5C40182C" w14:textId="77777777" w:rsidR="00E66105" w:rsidRDefault="00000000">
            <w:pPr>
              <w:keepNext/>
              <w:keepLines/>
              <w:spacing w:after="0" w:line="240" w:lineRule="auto"/>
              <w:jc w:val="right"/>
            </w:pPr>
            <w:r>
              <w:rPr>
                <w:sz w:val="18"/>
              </w:rPr>
              <w:t>440.829,74</w:t>
            </w:r>
          </w:p>
        </w:tc>
        <w:tc>
          <w:tcPr>
            <w:tcW w:w="700" w:type="dxa"/>
            <w:tcMar>
              <w:top w:w="0" w:type="dxa"/>
              <w:bottom w:w="0" w:type="dxa"/>
            </w:tcMar>
            <w:vAlign w:val="center"/>
          </w:tcPr>
          <w:p w14:paraId="21EC2FD2" w14:textId="77777777" w:rsidR="00E66105" w:rsidRDefault="00000000">
            <w:pPr>
              <w:keepNext/>
              <w:keepLines/>
              <w:spacing w:after="0" w:line="240" w:lineRule="auto"/>
              <w:jc w:val="right"/>
            </w:pPr>
            <w:r>
              <w:rPr>
                <w:sz w:val="18"/>
              </w:rPr>
              <w:t>127,4</w:t>
            </w:r>
          </w:p>
        </w:tc>
      </w:tr>
    </w:tbl>
    <w:p w14:paraId="1C9041CC" w14:textId="77777777" w:rsidR="00E66105" w:rsidRDefault="00E66105">
      <w:pPr>
        <w:spacing w:after="0"/>
      </w:pPr>
    </w:p>
    <w:p w14:paraId="6538F504" w14:textId="77777777" w:rsidR="00E66105" w:rsidRDefault="00000000">
      <w:r>
        <w:t>Rashodi za zaposlene izvršeni su u iznosu 440.829,74 EUR i veći su za 27,4 % u odnosu na izvršenje u izvještajnom razdoblju prethodne godine. Rashodi za zaposlene obuhvaćaju plaće (bruto), doprinose na plaće i ostale rashode za zaposlene u Dječjem vrtiću. Povećanje ove skupine rashoda proizlazi iz povećanja koeficijenata i osnovice za obračun plaće djelatnika.</w:t>
      </w:r>
    </w:p>
    <w:p w14:paraId="551C8659" w14:textId="77777777" w:rsidR="00E66105" w:rsidRDefault="00E66105"/>
    <w:p w14:paraId="425AF3C0" w14:textId="77777777" w:rsidR="00E6610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699684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45EA69"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3E99EF"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A42CDC"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59AEE4"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9738CC"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6AA706" w14:textId="77777777" w:rsidR="00E66105" w:rsidRDefault="00000000">
            <w:pPr>
              <w:keepNext/>
              <w:keepLines/>
              <w:spacing w:after="0" w:line="240" w:lineRule="auto"/>
              <w:jc w:val="center"/>
            </w:pPr>
            <w:r>
              <w:rPr>
                <w:b/>
                <w:sz w:val="18"/>
              </w:rPr>
              <w:t>Indeks (%)</w:t>
            </w:r>
          </w:p>
        </w:tc>
      </w:tr>
      <w:tr w:rsidR="00E66105" w14:paraId="65ED8A49" w14:textId="77777777">
        <w:tblPrEx>
          <w:tblCellMar>
            <w:top w:w="0" w:type="dxa"/>
            <w:bottom w:w="0" w:type="dxa"/>
          </w:tblCellMar>
        </w:tblPrEx>
        <w:trPr>
          <w:cantSplit/>
          <w:trHeight w:val="560"/>
        </w:trPr>
        <w:tc>
          <w:tcPr>
            <w:tcW w:w="700" w:type="dxa"/>
            <w:tcMar>
              <w:top w:w="0" w:type="dxa"/>
              <w:bottom w:w="0" w:type="dxa"/>
            </w:tcMar>
            <w:vAlign w:val="center"/>
          </w:tcPr>
          <w:p w14:paraId="4E7423DF" w14:textId="77777777" w:rsidR="00E66105" w:rsidRDefault="00000000">
            <w:pPr>
              <w:keepNext/>
              <w:keepLines/>
              <w:spacing w:after="0" w:line="240" w:lineRule="auto"/>
            </w:pPr>
            <w:r>
              <w:rPr>
                <w:sz w:val="18"/>
              </w:rPr>
              <w:t>32</w:t>
            </w:r>
          </w:p>
        </w:tc>
        <w:tc>
          <w:tcPr>
            <w:tcW w:w="3180" w:type="dxa"/>
            <w:tcMar>
              <w:top w:w="0" w:type="dxa"/>
              <w:bottom w:w="0" w:type="dxa"/>
            </w:tcMar>
            <w:vAlign w:val="center"/>
          </w:tcPr>
          <w:p w14:paraId="5890F914" w14:textId="77777777" w:rsidR="00E66105"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4CB050A7" w14:textId="77777777" w:rsidR="00E66105" w:rsidRDefault="00000000">
            <w:pPr>
              <w:keepNext/>
              <w:keepLines/>
              <w:spacing w:after="0" w:line="240" w:lineRule="auto"/>
            </w:pPr>
            <w:r>
              <w:rPr>
                <w:sz w:val="18"/>
              </w:rPr>
              <w:t>32</w:t>
            </w:r>
          </w:p>
        </w:tc>
        <w:tc>
          <w:tcPr>
            <w:tcW w:w="1860" w:type="dxa"/>
            <w:tcMar>
              <w:top w:w="0" w:type="dxa"/>
              <w:bottom w:w="0" w:type="dxa"/>
            </w:tcMar>
            <w:vAlign w:val="center"/>
          </w:tcPr>
          <w:p w14:paraId="2312EF16" w14:textId="77777777" w:rsidR="00E66105" w:rsidRDefault="00000000">
            <w:pPr>
              <w:keepNext/>
              <w:keepLines/>
              <w:spacing w:after="0" w:line="240" w:lineRule="auto"/>
              <w:jc w:val="right"/>
            </w:pPr>
            <w:r>
              <w:rPr>
                <w:sz w:val="18"/>
              </w:rPr>
              <w:t>111.605,12</w:t>
            </w:r>
          </w:p>
        </w:tc>
        <w:tc>
          <w:tcPr>
            <w:tcW w:w="1860" w:type="dxa"/>
            <w:tcMar>
              <w:top w:w="0" w:type="dxa"/>
              <w:bottom w:w="0" w:type="dxa"/>
            </w:tcMar>
            <w:vAlign w:val="center"/>
          </w:tcPr>
          <w:p w14:paraId="286ADF5B" w14:textId="77777777" w:rsidR="00E66105" w:rsidRDefault="00000000">
            <w:pPr>
              <w:keepNext/>
              <w:keepLines/>
              <w:spacing w:after="0" w:line="240" w:lineRule="auto"/>
              <w:jc w:val="right"/>
            </w:pPr>
            <w:r>
              <w:rPr>
                <w:sz w:val="18"/>
              </w:rPr>
              <w:t>126.980,11</w:t>
            </w:r>
          </w:p>
        </w:tc>
        <w:tc>
          <w:tcPr>
            <w:tcW w:w="700" w:type="dxa"/>
            <w:tcMar>
              <w:top w:w="0" w:type="dxa"/>
              <w:bottom w:w="0" w:type="dxa"/>
            </w:tcMar>
            <w:vAlign w:val="center"/>
          </w:tcPr>
          <w:p w14:paraId="27078106" w14:textId="77777777" w:rsidR="00E66105" w:rsidRDefault="00000000">
            <w:pPr>
              <w:keepNext/>
              <w:keepLines/>
              <w:spacing w:after="0" w:line="240" w:lineRule="auto"/>
              <w:jc w:val="right"/>
            </w:pPr>
            <w:r>
              <w:rPr>
                <w:sz w:val="18"/>
              </w:rPr>
              <w:t>113,8</w:t>
            </w:r>
          </w:p>
        </w:tc>
      </w:tr>
    </w:tbl>
    <w:p w14:paraId="64DEFAD1" w14:textId="77777777" w:rsidR="00E66105" w:rsidRDefault="00E66105">
      <w:pPr>
        <w:spacing w:after="0"/>
      </w:pPr>
    </w:p>
    <w:p w14:paraId="59491E22" w14:textId="77777777" w:rsidR="00E66105" w:rsidRDefault="00000000">
      <w:r>
        <w:t>Materijalni rashodi su ostvareni u iznosu od 126.980,11 EUR odnosno 13,8% više u odnosu na prethodnu godinu.</w:t>
      </w:r>
    </w:p>
    <w:tbl>
      <w:tblPr>
        <w:tblStyle w:val="Reetkatablice"/>
        <w:tblW w:w="5000" w:type="pct"/>
        <w:tblLook w:val="04A0" w:firstRow="1" w:lastRow="0" w:firstColumn="1" w:lastColumn="0" w:noHBand="0" w:noVBand="1"/>
      </w:tblPr>
      <w:tblGrid>
        <w:gridCol w:w="1264"/>
        <w:gridCol w:w="3604"/>
        <w:gridCol w:w="1414"/>
        <w:gridCol w:w="1415"/>
        <w:gridCol w:w="1365"/>
      </w:tblGrid>
      <w:tr w:rsidR="00E66105" w14:paraId="6BFB531C" w14:textId="77777777">
        <w:trPr>
          <w:trHeight w:val="542"/>
        </w:trPr>
        <w:tc>
          <w:tcPr>
            <w:tcW w:w="697" w:type="pct"/>
            <w:vAlign w:val="center"/>
          </w:tcPr>
          <w:p w14:paraId="6515E201" w14:textId="77777777" w:rsidR="00E66105" w:rsidRDefault="00000000">
            <w:pPr>
              <w:keepNext/>
              <w:jc w:val="center"/>
            </w:pPr>
            <w:r>
              <w:t>Račun iz rač.plana</w:t>
            </w:r>
          </w:p>
        </w:tc>
        <w:tc>
          <w:tcPr>
            <w:tcW w:w="1987" w:type="pct"/>
            <w:vAlign w:val="center"/>
          </w:tcPr>
          <w:p w14:paraId="138C3089" w14:textId="77777777" w:rsidR="00E66105" w:rsidRDefault="00000000">
            <w:pPr>
              <w:keepNext/>
              <w:jc w:val="center"/>
            </w:pPr>
            <w:r>
              <w:t>Opis stavke</w:t>
            </w:r>
          </w:p>
        </w:tc>
        <w:tc>
          <w:tcPr>
            <w:tcW w:w="780" w:type="pct"/>
            <w:vAlign w:val="center"/>
          </w:tcPr>
          <w:p w14:paraId="042EA807" w14:textId="77777777" w:rsidR="00E66105" w:rsidRDefault="00000000">
            <w:pPr>
              <w:keepNext/>
              <w:jc w:val="center"/>
            </w:pPr>
            <w:r>
              <w:t>2024.</w:t>
            </w:r>
          </w:p>
        </w:tc>
        <w:tc>
          <w:tcPr>
            <w:tcW w:w="781" w:type="pct"/>
            <w:vAlign w:val="center"/>
          </w:tcPr>
          <w:p w14:paraId="0CF0C71F" w14:textId="77777777" w:rsidR="00E66105" w:rsidRDefault="00000000">
            <w:pPr>
              <w:keepNext/>
              <w:jc w:val="center"/>
            </w:pPr>
            <w:r>
              <w:t>2025.</w:t>
            </w:r>
          </w:p>
        </w:tc>
        <w:tc>
          <w:tcPr>
            <w:tcW w:w="753" w:type="pct"/>
            <w:vAlign w:val="center"/>
          </w:tcPr>
          <w:p w14:paraId="0C13BB0B" w14:textId="77777777" w:rsidR="00E66105" w:rsidRDefault="00000000">
            <w:pPr>
              <w:keepNext/>
              <w:jc w:val="center"/>
            </w:pPr>
            <w:r>
              <w:t>Indeks</w:t>
            </w:r>
          </w:p>
        </w:tc>
      </w:tr>
      <w:tr w:rsidR="00E66105" w14:paraId="3AA1E1DE" w14:textId="77777777">
        <w:trPr>
          <w:trHeight w:val="542"/>
        </w:trPr>
        <w:tc>
          <w:tcPr>
            <w:tcW w:w="697" w:type="pct"/>
            <w:vAlign w:val="center"/>
          </w:tcPr>
          <w:p w14:paraId="23B04944" w14:textId="77777777" w:rsidR="00E66105" w:rsidRDefault="00000000">
            <w:pPr>
              <w:keepNext/>
              <w:jc w:val="center"/>
            </w:pPr>
            <w:r>
              <w:t>321</w:t>
            </w:r>
          </w:p>
        </w:tc>
        <w:tc>
          <w:tcPr>
            <w:tcW w:w="1987" w:type="pct"/>
            <w:vAlign w:val="center"/>
          </w:tcPr>
          <w:p w14:paraId="3CF7855A" w14:textId="77777777" w:rsidR="00E66105" w:rsidRDefault="00000000">
            <w:pPr>
              <w:keepNext/>
              <w:jc w:val="center"/>
            </w:pPr>
            <w:r>
              <w:t>Naknade troškova zaposlenima</w:t>
            </w:r>
          </w:p>
        </w:tc>
        <w:tc>
          <w:tcPr>
            <w:tcW w:w="780" w:type="pct"/>
            <w:vAlign w:val="center"/>
          </w:tcPr>
          <w:p w14:paraId="7EC3AAC1" w14:textId="77777777" w:rsidR="00E66105" w:rsidRDefault="00000000">
            <w:pPr>
              <w:keepNext/>
              <w:jc w:val="center"/>
            </w:pPr>
            <w:r>
              <w:t>7.497,98</w:t>
            </w:r>
          </w:p>
        </w:tc>
        <w:tc>
          <w:tcPr>
            <w:tcW w:w="781" w:type="pct"/>
            <w:vAlign w:val="center"/>
          </w:tcPr>
          <w:p w14:paraId="337A9EE2" w14:textId="77777777" w:rsidR="00E66105" w:rsidRDefault="00000000">
            <w:pPr>
              <w:keepNext/>
              <w:jc w:val="center"/>
            </w:pPr>
            <w:r>
              <w:t>9.375,88</w:t>
            </w:r>
          </w:p>
        </w:tc>
        <w:tc>
          <w:tcPr>
            <w:tcW w:w="753" w:type="pct"/>
            <w:vAlign w:val="center"/>
          </w:tcPr>
          <w:p w14:paraId="022E05D1" w14:textId="77777777" w:rsidR="00E66105" w:rsidRDefault="00000000">
            <w:pPr>
              <w:keepNext/>
              <w:jc w:val="center"/>
            </w:pPr>
            <w:r>
              <w:t>125,0</w:t>
            </w:r>
          </w:p>
        </w:tc>
      </w:tr>
      <w:tr w:rsidR="00E66105" w14:paraId="60ED167E" w14:textId="77777777">
        <w:trPr>
          <w:trHeight w:val="542"/>
        </w:trPr>
        <w:tc>
          <w:tcPr>
            <w:tcW w:w="697" w:type="pct"/>
            <w:vAlign w:val="center"/>
          </w:tcPr>
          <w:p w14:paraId="6F62CB4D" w14:textId="77777777" w:rsidR="00E66105" w:rsidRDefault="00000000">
            <w:pPr>
              <w:keepNext/>
              <w:jc w:val="center"/>
            </w:pPr>
            <w:r>
              <w:t>322</w:t>
            </w:r>
          </w:p>
        </w:tc>
        <w:tc>
          <w:tcPr>
            <w:tcW w:w="1987" w:type="pct"/>
            <w:vAlign w:val="center"/>
          </w:tcPr>
          <w:p w14:paraId="3C1E4F05" w14:textId="77777777" w:rsidR="00E66105" w:rsidRDefault="00000000">
            <w:pPr>
              <w:keepNext/>
              <w:jc w:val="center"/>
            </w:pPr>
            <w:r>
              <w:t>Rashodi za materijal i energiju</w:t>
            </w:r>
          </w:p>
        </w:tc>
        <w:tc>
          <w:tcPr>
            <w:tcW w:w="780" w:type="pct"/>
            <w:vAlign w:val="center"/>
          </w:tcPr>
          <w:p w14:paraId="71CA4B01" w14:textId="77777777" w:rsidR="00E66105" w:rsidRDefault="00000000">
            <w:pPr>
              <w:keepNext/>
              <w:jc w:val="center"/>
            </w:pPr>
            <w:r>
              <w:t>71.317,11</w:t>
            </w:r>
          </w:p>
        </w:tc>
        <w:tc>
          <w:tcPr>
            <w:tcW w:w="781" w:type="pct"/>
            <w:vAlign w:val="center"/>
          </w:tcPr>
          <w:p w14:paraId="78AC5D8C" w14:textId="77777777" w:rsidR="00E66105" w:rsidRDefault="00000000">
            <w:pPr>
              <w:keepNext/>
              <w:jc w:val="center"/>
            </w:pPr>
            <w:r>
              <w:t>80.267,81</w:t>
            </w:r>
          </w:p>
        </w:tc>
        <w:tc>
          <w:tcPr>
            <w:tcW w:w="753" w:type="pct"/>
            <w:vAlign w:val="center"/>
          </w:tcPr>
          <w:p w14:paraId="078DAB30" w14:textId="77777777" w:rsidR="00E66105" w:rsidRDefault="00000000">
            <w:pPr>
              <w:keepNext/>
              <w:jc w:val="center"/>
            </w:pPr>
            <w:r>
              <w:t>112,6</w:t>
            </w:r>
          </w:p>
        </w:tc>
      </w:tr>
      <w:tr w:rsidR="00E66105" w14:paraId="3143ACEA" w14:textId="77777777">
        <w:trPr>
          <w:trHeight w:val="542"/>
        </w:trPr>
        <w:tc>
          <w:tcPr>
            <w:tcW w:w="697" w:type="pct"/>
            <w:vAlign w:val="center"/>
          </w:tcPr>
          <w:p w14:paraId="0284D99C" w14:textId="77777777" w:rsidR="00E66105" w:rsidRDefault="00000000">
            <w:pPr>
              <w:keepNext/>
              <w:jc w:val="center"/>
            </w:pPr>
            <w:r>
              <w:t>323</w:t>
            </w:r>
          </w:p>
        </w:tc>
        <w:tc>
          <w:tcPr>
            <w:tcW w:w="1987" w:type="pct"/>
            <w:vAlign w:val="center"/>
          </w:tcPr>
          <w:p w14:paraId="3D9CF67C" w14:textId="77777777" w:rsidR="00E66105" w:rsidRDefault="00000000">
            <w:pPr>
              <w:keepNext/>
              <w:jc w:val="center"/>
            </w:pPr>
            <w:r>
              <w:t>Rashodi za usluge</w:t>
            </w:r>
          </w:p>
        </w:tc>
        <w:tc>
          <w:tcPr>
            <w:tcW w:w="780" w:type="pct"/>
            <w:vAlign w:val="center"/>
          </w:tcPr>
          <w:p w14:paraId="49A8D175" w14:textId="77777777" w:rsidR="00E66105" w:rsidRDefault="00000000">
            <w:pPr>
              <w:keepNext/>
              <w:jc w:val="center"/>
            </w:pPr>
            <w:r>
              <w:t>30.182,73</w:t>
            </w:r>
          </w:p>
        </w:tc>
        <w:tc>
          <w:tcPr>
            <w:tcW w:w="781" w:type="pct"/>
            <w:vAlign w:val="center"/>
          </w:tcPr>
          <w:p w14:paraId="6C786140" w14:textId="77777777" w:rsidR="00E66105" w:rsidRDefault="00000000">
            <w:pPr>
              <w:keepNext/>
              <w:jc w:val="center"/>
            </w:pPr>
            <w:r>
              <w:t>33.721,16</w:t>
            </w:r>
          </w:p>
        </w:tc>
        <w:tc>
          <w:tcPr>
            <w:tcW w:w="753" w:type="pct"/>
            <w:vAlign w:val="center"/>
          </w:tcPr>
          <w:p w14:paraId="6137B5BB" w14:textId="77777777" w:rsidR="00E66105" w:rsidRDefault="00000000">
            <w:pPr>
              <w:keepNext/>
              <w:jc w:val="center"/>
            </w:pPr>
            <w:r>
              <w:t>111,7</w:t>
            </w:r>
          </w:p>
        </w:tc>
      </w:tr>
      <w:tr w:rsidR="00E66105" w14:paraId="200E349B" w14:textId="77777777">
        <w:trPr>
          <w:trHeight w:val="542"/>
        </w:trPr>
        <w:tc>
          <w:tcPr>
            <w:tcW w:w="697" w:type="pct"/>
            <w:vAlign w:val="center"/>
          </w:tcPr>
          <w:p w14:paraId="0C4D48A7" w14:textId="77777777" w:rsidR="00E66105" w:rsidRDefault="00000000">
            <w:pPr>
              <w:keepNext/>
              <w:jc w:val="center"/>
            </w:pPr>
            <w:r>
              <w:t>324</w:t>
            </w:r>
          </w:p>
        </w:tc>
        <w:tc>
          <w:tcPr>
            <w:tcW w:w="1987" w:type="pct"/>
            <w:vAlign w:val="center"/>
          </w:tcPr>
          <w:p w14:paraId="0BE8F8A0" w14:textId="77777777" w:rsidR="00E66105" w:rsidRDefault="00000000">
            <w:pPr>
              <w:keepNext/>
              <w:jc w:val="center"/>
            </w:pPr>
            <w:r>
              <w:t>Naknade troškova osobama izvan radnog odnosa</w:t>
            </w:r>
          </w:p>
        </w:tc>
        <w:tc>
          <w:tcPr>
            <w:tcW w:w="780" w:type="pct"/>
            <w:vAlign w:val="center"/>
          </w:tcPr>
          <w:p w14:paraId="0396D052" w14:textId="77777777" w:rsidR="00E66105" w:rsidRDefault="00000000">
            <w:pPr>
              <w:keepNext/>
              <w:jc w:val="center"/>
            </w:pPr>
            <w:r>
              <w:t>0,00</w:t>
            </w:r>
          </w:p>
        </w:tc>
        <w:tc>
          <w:tcPr>
            <w:tcW w:w="781" w:type="pct"/>
            <w:vAlign w:val="center"/>
          </w:tcPr>
          <w:p w14:paraId="4BC28420" w14:textId="77777777" w:rsidR="00E66105" w:rsidRDefault="00000000">
            <w:pPr>
              <w:keepNext/>
              <w:jc w:val="center"/>
            </w:pPr>
            <w:r>
              <w:t>0,00</w:t>
            </w:r>
          </w:p>
        </w:tc>
        <w:tc>
          <w:tcPr>
            <w:tcW w:w="753" w:type="pct"/>
            <w:vAlign w:val="center"/>
          </w:tcPr>
          <w:p w14:paraId="00538B28" w14:textId="77777777" w:rsidR="00E66105" w:rsidRDefault="00000000">
            <w:pPr>
              <w:keepNext/>
              <w:jc w:val="center"/>
            </w:pPr>
            <w:r>
              <w:t>-</w:t>
            </w:r>
          </w:p>
        </w:tc>
      </w:tr>
      <w:tr w:rsidR="00E66105" w14:paraId="6F96FFB3" w14:textId="77777777">
        <w:trPr>
          <w:trHeight w:val="542"/>
        </w:trPr>
        <w:tc>
          <w:tcPr>
            <w:tcW w:w="697" w:type="pct"/>
            <w:vAlign w:val="center"/>
          </w:tcPr>
          <w:p w14:paraId="5C04E531" w14:textId="77777777" w:rsidR="00E66105" w:rsidRDefault="00000000">
            <w:pPr>
              <w:keepNext/>
              <w:jc w:val="center"/>
            </w:pPr>
            <w:r>
              <w:t>329</w:t>
            </w:r>
          </w:p>
        </w:tc>
        <w:tc>
          <w:tcPr>
            <w:tcW w:w="1987" w:type="pct"/>
            <w:vAlign w:val="center"/>
          </w:tcPr>
          <w:p w14:paraId="42D96A95" w14:textId="77777777" w:rsidR="00E66105" w:rsidRDefault="00000000">
            <w:pPr>
              <w:keepNext/>
              <w:jc w:val="center"/>
            </w:pPr>
            <w:r>
              <w:t>Ostali nespomenuti rashodi poslovanja</w:t>
            </w:r>
          </w:p>
        </w:tc>
        <w:tc>
          <w:tcPr>
            <w:tcW w:w="780" w:type="pct"/>
            <w:vAlign w:val="center"/>
          </w:tcPr>
          <w:p w14:paraId="29DAB18B" w14:textId="77777777" w:rsidR="00E66105" w:rsidRDefault="00000000">
            <w:pPr>
              <w:keepNext/>
              <w:jc w:val="center"/>
            </w:pPr>
            <w:r>
              <w:t>2.607,30</w:t>
            </w:r>
          </w:p>
        </w:tc>
        <w:tc>
          <w:tcPr>
            <w:tcW w:w="781" w:type="pct"/>
            <w:vAlign w:val="center"/>
          </w:tcPr>
          <w:p w14:paraId="45D9EC0D" w14:textId="77777777" w:rsidR="00E66105" w:rsidRDefault="00000000">
            <w:pPr>
              <w:keepNext/>
              <w:jc w:val="center"/>
            </w:pPr>
            <w:r>
              <w:t>3.615,26</w:t>
            </w:r>
          </w:p>
        </w:tc>
        <w:tc>
          <w:tcPr>
            <w:tcW w:w="753" w:type="pct"/>
            <w:vAlign w:val="center"/>
          </w:tcPr>
          <w:p w14:paraId="54417E4C" w14:textId="77777777" w:rsidR="00E66105" w:rsidRDefault="00000000">
            <w:pPr>
              <w:keepNext/>
              <w:jc w:val="center"/>
            </w:pPr>
            <w:r>
              <w:t>138,7</w:t>
            </w:r>
          </w:p>
        </w:tc>
      </w:tr>
    </w:tbl>
    <w:p w14:paraId="0EDC6AEB" w14:textId="77777777" w:rsidR="00E66105" w:rsidRDefault="00000000">
      <w:r>
        <w:t> </w:t>
      </w:r>
    </w:p>
    <w:p w14:paraId="38FE7AA2" w14:textId="77777777" w:rsidR="00E66105" w:rsidRDefault="00E66105"/>
    <w:p w14:paraId="15B37AB6" w14:textId="77777777" w:rsidR="00E66105"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1666CB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775423"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E38925"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1146C1"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D42CC3"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C5F5BA"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70C5F3" w14:textId="77777777" w:rsidR="00E66105" w:rsidRDefault="00000000">
            <w:pPr>
              <w:keepNext/>
              <w:keepLines/>
              <w:spacing w:after="0" w:line="240" w:lineRule="auto"/>
              <w:jc w:val="center"/>
            </w:pPr>
            <w:r>
              <w:rPr>
                <w:b/>
                <w:sz w:val="18"/>
              </w:rPr>
              <w:t>Indeks (%)</w:t>
            </w:r>
          </w:p>
        </w:tc>
      </w:tr>
      <w:tr w:rsidR="00E66105" w14:paraId="37D064C1" w14:textId="77777777">
        <w:tblPrEx>
          <w:tblCellMar>
            <w:top w:w="0" w:type="dxa"/>
            <w:bottom w:w="0" w:type="dxa"/>
          </w:tblCellMar>
        </w:tblPrEx>
        <w:trPr>
          <w:cantSplit/>
          <w:trHeight w:val="560"/>
        </w:trPr>
        <w:tc>
          <w:tcPr>
            <w:tcW w:w="700" w:type="dxa"/>
            <w:tcMar>
              <w:top w:w="0" w:type="dxa"/>
              <w:bottom w:w="0" w:type="dxa"/>
            </w:tcMar>
            <w:vAlign w:val="center"/>
          </w:tcPr>
          <w:p w14:paraId="00A9217B" w14:textId="77777777" w:rsidR="00E66105" w:rsidRDefault="00000000">
            <w:pPr>
              <w:keepNext/>
              <w:keepLines/>
              <w:spacing w:after="0" w:line="240" w:lineRule="auto"/>
            </w:pPr>
            <w:r>
              <w:rPr>
                <w:sz w:val="18"/>
              </w:rPr>
              <w:t>321</w:t>
            </w:r>
          </w:p>
        </w:tc>
        <w:tc>
          <w:tcPr>
            <w:tcW w:w="3180" w:type="dxa"/>
            <w:tcMar>
              <w:top w:w="0" w:type="dxa"/>
              <w:bottom w:w="0" w:type="dxa"/>
            </w:tcMar>
            <w:vAlign w:val="center"/>
          </w:tcPr>
          <w:p w14:paraId="737626E0" w14:textId="77777777" w:rsidR="00E66105"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16BE4C40" w14:textId="77777777" w:rsidR="00E66105" w:rsidRDefault="00000000">
            <w:pPr>
              <w:keepNext/>
              <w:keepLines/>
              <w:spacing w:after="0" w:line="240" w:lineRule="auto"/>
            </w:pPr>
            <w:r>
              <w:rPr>
                <w:sz w:val="18"/>
              </w:rPr>
              <w:t>321</w:t>
            </w:r>
          </w:p>
        </w:tc>
        <w:tc>
          <w:tcPr>
            <w:tcW w:w="1860" w:type="dxa"/>
            <w:tcMar>
              <w:top w:w="0" w:type="dxa"/>
              <w:bottom w:w="0" w:type="dxa"/>
            </w:tcMar>
            <w:vAlign w:val="center"/>
          </w:tcPr>
          <w:p w14:paraId="1D7FEF6B" w14:textId="77777777" w:rsidR="00E66105" w:rsidRDefault="00000000">
            <w:pPr>
              <w:keepNext/>
              <w:keepLines/>
              <w:spacing w:after="0" w:line="240" w:lineRule="auto"/>
              <w:jc w:val="right"/>
            </w:pPr>
            <w:r>
              <w:rPr>
                <w:sz w:val="18"/>
              </w:rPr>
              <w:t>7.497,98</w:t>
            </w:r>
          </w:p>
        </w:tc>
        <w:tc>
          <w:tcPr>
            <w:tcW w:w="1860" w:type="dxa"/>
            <w:tcMar>
              <w:top w:w="0" w:type="dxa"/>
              <w:bottom w:w="0" w:type="dxa"/>
            </w:tcMar>
            <w:vAlign w:val="center"/>
          </w:tcPr>
          <w:p w14:paraId="5010B03D" w14:textId="77777777" w:rsidR="00E66105" w:rsidRDefault="00000000">
            <w:pPr>
              <w:keepNext/>
              <w:keepLines/>
              <w:spacing w:after="0" w:line="240" w:lineRule="auto"/>
              <w:jc w:val="right"/>
            </w:pPr>
            <w:r>
              <w:rPr>
                <w:sz w:val="18"/>
              </w:rPr>
              <w:t>9.375,88</w:t>
            </w:r>
          </w:p>
        </w:tc>
        <w:tc>
          <w:tcPr>
            <w:tcW w:w="700" w:type="dxa"/>
            <w:tcMar>
              <w:top w:w="0" w:type="dxa"/>
              <w:bottom w:w="0" w:type="dxa"/>
            </w:tcMar>
            <w:vAlign w:val="center"/>
          </w:tcPr>
          <w:p w14:paraId="2B46023B" w14:textId="77777777" w:rsidR="00E66105" w:rsidRDefault="00000000">
            <w:pPr>
              <w:keepNext/>
              <w:keepLines/>
              <w:spacing w:after="0" w:line="240" w:lineRule="auto"/>
              <w:jc w:val="right"/>
            </w:pPr>
            <w:r>
              <w:rPr>
                <w:sz w:val="18"/>
              </w:rPr>
              <w:t>125,0</w:t>
            </w:r>
          </w:p>
        </w:tc>
      </w:tr>
    </w:tbl>
    <w:p w14:paraId="50B6195A" w14:textId="77777777" w:rsidR="00E66105" w:rsidRDefault="00E66105">
      <w:pPr>
        <w:spacing w:after="0"/>
      </w:pPr>
    </w:p>
    <w:p w14:paraId="74F77858" w14:textId="77777777" w:rsidR="00E66105" w:rsidRDefault="00000000">
      <w:r>
        <w:t>Naknade troškova zaposlenima (račun 321) izvršene su u iznosu od 9.375,88 EUR te je ova podskupina rashoda za 25,0 % veća u odnosu na izvršenje prethodne godine. Unutar ove podskupine rashoda najveće povećanje odnosi se na rashode za službena putovanja (zbog većeg broja seminara, konferencija i slično) te stručno usavršavanje zaposlenika. </w:t>
      </w:r>
    </w:p>
    <w:p w14:paraId="54D0C253" w14:textId="77777777" w:rsidR="00E66105" w:rsidRDefault="00E66105"/>
    <w:p w14:paraId="67BBDBD1" w14:textId="77777777" w:rsidR="00E6610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384B70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ECCFD2"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ED7E8A"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1C200B"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060A67"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CA0B66"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243D2A" w14:textId="77777777" w:rsidR="00E66105" w:rsidRDefault="00000000">
            <w:pPr>
              <w:keepNext/>
              <w:keepLines/>
              <w:spacing w:after="0" w:line="240" w:lineRule="auto"/>
              <w:jc w:val="center"/>
            </w:pPr>
            <w:r>
              <w:rPr>
                <w:b/>
                <w:sz w:val="18"/>
              </w:rPr>
              <w:t>Indeks (%)</w:t>
            </w:r>
          </w:p>
        </w:tc>
      </w:tr>
      <w:tr w:rsidR="00E66105" w14:paraId="4A357915" w14:textId="77777777">
        <w:tblPrEx>
          <w:tblCellMar>
            <w:top w:w="0" w:type="dxa"/>
            <w:bottom w:w="0" w:type="dxa"/>
          </w:tblCellMar>
        </w:tblPrEx>
        <w:trPr>
          <w:cantSplit/>
          <w:trHeight w:val="560"/>
        </w:trPr>
        <w:tc>
          <w:tcPr>
            <w:tcW w:w="700" w:type="dxa"/>
            <w:tcMar>
              <w:top w:w="0" w:type="dxa"/>
              <w:bottom w:w="0" w:type="dxa"/>
            </w:tcMar>
            <w:vAlign w:val="center"/>
          </w:tcPr>
          <w:p w14:paraId="4135AAD2" w14:textId="77777777" w:rsidR="00E66105" w:rsidRDefault="00000000">
            <w:pPr>
              <w:keepNext/>
              <w:keepLines/>
              <w:spacing w:after="0" w:line="240" w:lineRule="auto"/>
            </w:pPr>
            <w:r>
              <w:rPr>
                <w:sz w:val="18"/>
              </w:rPr>
              <w:t>322</w:t>
            </w:r>
          </w:p>
        </w:tc>
        <w:tc>
          <w:tcPr>
            <w:tcW w:w="3180" w:type="dxa"/>
            <w:tcMar>
              <w:top w:w="0" w:type="dxa"/>
              <w:bottom w:w="0" w:type="dxa"/>
            </w:tcMar>
            <w:vAlign w:val="center"/>
          </w:tcPr>
          <w:p w14:paraId="42E720A4" w14:textId="77777777" w:rsidR="00E66105"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37DC1210" w14:textId="77777777" w:rsidR="00E66105" w:rsidRDefault="00000000">
            <w:pPr>
              <w:keepNext/>
              <w:keepLines/>
              <w:spacing w:after="0" w:line="240" w:lineRule="auto"/>
            </w:pPr>
            <w:r>
              <w:rPr>
                <w:sz w:val="18"/>
              </w:rPr>
              <w:t>322</w:t>
            </w:r>
          </w:p>
        </w:tc>
        <w:tc>
          <w:tcPr>
            <w:tcW w:w="1860" w:type="dxa"/>
            <w:tcMar>
              <w:top w:w="0" w:type="dxa"/>
              <w:bottom w:w="0" w:type="dxa"/>
            </w:tcMar>
            <w:vAlign w:val="center"/>
          </w:tcPr>
          <w:p w14:paraId="10ADCB87" w14:textId="77777777" w:rsidR="00E66105" w:rsidRDefault="00000000">
            <w:pPr>
              <w:keepNext/>
              <w:keepLines/>
              <w:spacing w:after="0" w:line="240" w:lineRule="auto"/>
              <w:jc w:val="right"/>
            </w:pPr>
            <w:r>
              <w:rPr>
                <w:sz w:val="18"/>
              </w:rPr>
              <w:t>71.317,11</w:t>
            </w:r>
          </w:p>
        </w:tc>
        <w:tc>
          <w:tcPr>
            <w:tcW w:w="1860" w:type="dxa"/>
            <w:tcMar>
              <w:top w:w="0" w:type="dxa"/>
              <w:bottom w:w="0" w:type="dxa"/>
            </w:tcMar>
            <w:vAlign w:val="center"/>
          </w:tcPr>
          <w:p w14:paraId="7665BA1B" w14:textId="77777777" w:rsidR="00E66105" w:rsidRDefault="00000000">
            <w:pPr>
              <w:keepNext/>
              <w:keepLines/>
              <w:spacing w:after="0" w:line="240" w:lineRule="auto"/>
              <w:jc w:val="right"/>
            </w:pPr>
            <w:r>
              <w:rPr>
                <w:sz w:val="18"/>
              </w:rPr>
              <w:t>80.267,81</w:t>
            </w:r>
          </w:p>
        </w:tc>
        <w:tc>
          <w:tcPr>
            <w:tcW w:w="700" w:type="dxa"/>
            <w:tcMar>
              <w:top w:w="0" w:type="dxa"/>
              <w:bottom w:w="0" w:type="dxa"/>
            </w:tcMar>
            <w:vAlign w:val="center"/>
          </w:tcPr>
          <w:p w14:paraId="37A18343" w14:textId="77777777" w:rsidR="00E66105" w:rsidRDefault="00000000">
            <w:pPr>
              <w:keepNext/>
              <w:keepLines/>
              <w:spacing w:after="0" w:line="240" w:lineRule="auto"/>
              <w:jc w:val="right"/>
            </w:pPr>
            <w:r>
              <w:rPr>
                <w:sz w:val="18"/>
              </w:rPr>
              <w:t>112,6</w:t>
            </w:r>
          </w:p>
        </w:tc>
      </w:tr>
    </w:tbl>
    <w:p w14:paraId="0072E902" w14:textId="77777777" w:rsidR="00E66105" w:rsidRDefault="00E66105">
      <w:pPr>
        <w:spacing w:after="0"/>
      </w:pPr>
    </w:p>
    <w:p w14:paraId="5361A50D" w14:textId="77777777" w:rsidR="00E66105" w:rsidRDefault="00000000">
      <w:r>
        <w:t>Rashodi za materijal i energiju (šifra 322) izvršeni su u iznosu 80.267,81 EUR te su u odnosu na prethodnu godinu veći za 12,6 %. Glavno povećanje u ovoj podskupini rashoda odnosi se na rashode za materijal i dijelove za tekuće i investicijsko koji su veći su za 175,7 % u odnosu na izvršenje u izvještajnom razdoblju prethodne godine.</w:t>
      </w:r>
    </w:p>
    <w:p w14:paraId="6405CDD2" w14:textId="77777777" w:rsidR="00E66105" w:rsidRDefault="00E66105"/>
    <w:p w14:paraId="4DB5DE62" w14:textId="77777777" w:rsidR="00E66105"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0B11EF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21416C"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D7B4AE"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3B7F5B"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91A18B"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EF4961"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DF000E" w14:textId="77777777" w:rsidR="00E66105" w:rsidRDefault="00000000">
            <w:pPr>
              <w:keepNext/>
              <w:keepLines/>
              <w:spacing w:after="0" w:line="240" w:lineRule="auto"/>
              <w:jc w:val="center"/>
            </w:pPr>
            <w:r>
              <w:rPr>
                <w:b/>
                <w:sz w:val="18"/>
              </w:rPr>
              <w:t>Indeks (%)</w:t>
            </w:r>
          </w:p>
        </w:tc>
      </w:tr>
      <w:tr w:rsidR="00E66105" w14:paraId="512E853B" w14:textId="77777777">
        <w:tblPrEx>
          <w:tblCellMar>
            <w:top w:w="0" w:type="dxa"/>
            <w:bottom w:w="0" w:type="dxa"/>
          </w:tblCellMar>
        </w:tblPrEx>
        <w:trPr>
          <w:cantSplit/>
          <w:trHeight w:val="560"/>
        </w:trPr>
        <w:tc>
          <w:tcPr>
            <w:tcW w:w="700" w:type="dxa"/>
            <w:tcMar>
              <w:top w:w="0" w:type="dxa"/>
              <w:bottom w:w="0" w:type="dxa"/>
            </w:tcMar>
            <w:vAlign w:val="center"/>
          </w:tcPr>
          <w:p w14:paraId="4A22C576" w14:textId="77777777" w:rsidR="00E66105" w:rsidRDefault="00000000">
            <w:pPr>
              <w:keepNext/>
              <w:keepLines/>
              <w:spacing w:after="0" w:line="240" w:lineRule="auto"/>
            </w:pPr>
            <w:r>
              <w:rPr>
                <w:sz w:val="18"/>
              </w:rPr>
              <w:t>323</w:t>
            </w:r>
          </w:p>
        </w:tc>
        <w:tc>
          <w:tcPr>
            <w:tcW w:w="3180" w:type="dxa"/>
            <w:tcMar>
              <w:top w:w="0" w:type="dxa"/>
              <w:bottom w:w="0" w:type="dxa"/>
            </w:tcMar>
            <w:vAlign w:val="center"/>
          </w:tcPr>
          <w:p w14:paraId="32FE0EC5" w14:textId="77777777" w:rsidR="00E66105"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5789594E" w14:textId="77777777" w:rsidR="00E66105" w:rsidRDefault="00000000">
            <w:pPr>
              <w:keepNext/>
              <w:keepLines/>
              <w:spacing w:after="0" w:line="240" w:lineRule="auto"/>
            </w:pPr>
            <w:r>
              <w:rPr>
                <w:sz w:val="18"/>
              </w:rPr>
              <w:t>323</w:t>
            </w:r>
          </w:p>
        </w:tc>
        <w:tc>
          <w:tcPr>
            <w:tcW w:w="1860" w:type="dxa"/>
            <w:tcMar>
              <w:top w:w="0" w:type="dxa"/>
              <w:bottom w:w="0" w:type="dxa"/>
            </w:tcMar>
            <w:vAlign w:val="center"/>
          </w:tcPr>
          <w:p w14:paraId="4B33F8F3" w14:textId="77777777" w:rsidR="00E66105" w:rsidRDefault="00000000">
            <w:pPr>
              <w:keepNext/>
              <w:keepLines/>
              <w:spacing w:after="0" w:line="240" w:lineRule="auto"/>
              <w:jc w:val="right"/>
            </w:pPr>
            <w:r>
              <w:rPr>
                <w:sz w:val="18"/>
              </w:rPr>
              <w:t>30.182,73</w:t>
            </w:r>
          </w:p>
        </w:tc>
        <w:tc>
          <w:tcPr>
            <w:tcW w:w="1860" w:type="dxa"/>
            <w:tcMar>
              <w:top w:w="0" w:type="dxa"/>
              <w:bottom w:w="0" w:type="dxa"/>
            </w:tcMar>
            <w:vAlign w:val="center"/>
          </w:tcPr>
          <w:p w14:paraId="23E26689" w14:textId="77777777" w:rsidR="00E66105" w:rsidRDefault="00000000">
            <w:pPr>
              <w:keepNext/>
              <w:keepLines/>
              <w:spacing w:after="0" w:line="240" w:lineRule="auto"/>
              <w:jc w:val="right"/>
            </w:pPr>
            <w:r>
              <w:rPr>
                <w:sz w:val="18"/>
              </w:rPr>
              <w:t>33.721,16</w:t>
            </w:r>
          </w:p>
        </w:tc>
        <w:tc>
          <w:tcPr>
            <w:tcW w:w="700" w:type="dxa"/>
            <w:tcMar>
              <w:top w:w="0" w:type="dxa"/>
              <w:bottom w:w="0" w:type="dxa"/>
            </w:tcMar>
            <w:vAlign w:val="center"/>
          </w:tcPr>
          <w:p w14:paraId="3F844A98" w14:textId="77777777" w:rsidR="00E66105" w:rsidRDefault="00000000">
            <w:pPr>
              <w:keepNext/>
              <w:keepLines/>
              <w:spacing w:after="0" w:line="240" w:lineRule="auto"/>
              <w:jc w:val="right"/>
            </w:pPr>
            <w:r>
              <w:rPr>
                <w:sz w:val="18"/>
              </w:rPr>
              <w:t>111,7</w:t>
            </w:r>
          </w:p>
        </w:tc>
      </w:tr>
    </w:tbl>
    <w:p w14:paraId="00BA0460" w14:textId="77777777" w:rsidR="00E66105" w:rsidRDefault="00E66105">
      <w:pPr>
        <w:spacing w:after="0"/>
      </w:pPr>
    </w:p>
    <w:p w14:paraId="7B46857A" w14:textId="77777777" w:rsidR="00E66105" w:rsidRDefault="00000000">
      <w:r>
        <w:t>Rashodi za usluge  izvršeni su u iznosu od 33.721,16 EUR te su u odnosu na prethodnu godinu veći za 11,7 %. Unutar podskupine rashoda za usluge, najveće povećanje ostvareno je od ostalih usluga u iznosu od 1.421,49 eur te su veće za 258,90% u odnosu na prehodnu godinu.</w:t>
      </w:r>
    </w:p>
    <w:p w14:paraId="5B7B98C6" w14:textId="77777777" w:rsidR="00E66105" w:rsidRDefault="00E66105"/>
    <w:p w14:paraId="2FA0C843" w14:textId="77777777" w:rsidR="00E66105"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58C21A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2F6E22"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A0E63F"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ADB4D6"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FF4730"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5AE74A"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67B61B" w14:textId="77777777" w:rsidR="00E66105" w:rsidRDefault="00000000">
            <w:pPr>
              <w:keepNext/>
              <w:keepLines/>
              <w:spacing w:after="0" w:line="240" w:lineRule="auto"/>
              <w:jc w:val="center"/>
            </w:pPr>
            <w:r>
              <w:rPr>
                <w:b/>
                <w:sz w:val="18"/>
              </w:rPr>
              <w:t>Indeks (%)</w:t>
            </w:r>
          </w:p>
        </w:tc>
      </w:tr>
      <w:tr w:rsidR="00E66105" w14:paraId="03E94D23" w14:textId="77777777">
        <w:tblPrEx>
          <w:tblCellMar>
            <w:top w:w="0" w:type="dxa"/>
            <w:bottom w:w="0" w:type="dxa"/>
          </w:tblCellMar>
        </w:tblPrEx>
        <w:trPr>
          <w:cantSplit/>
          <w:trHeight w:val="560"/>
        </w:trPr>
        <w:tc>
          <w:tcPr>
            <w:tcW w:w="700" w:type="dxa"/>
            <w:tcMar>
              <w:top w:w="0" w:type="dxa"/>
              <w:bottom w:w="0" w:type="dxa"/>
            </w:tcMar>
            <w:vAlign w:val="center"/>
          </w:tcPr>
          <w:p w14:paraId="298B0104" w14:textId="77777777" w:rsidR="00E66105" w:rsidRDefault="00000000">
            <w:pPr>
              <w:keepNext/>
              <w:keepLines/>
              <w:spacing w:after="0" w:line="240" w:lineRule="auto"/>
            </w:pPr>
            <w:r>
              <w:rPr>
                <w:sz w:val="18"/>
              </w:rPr>
              <w:t>329</w:t>
            </w:r>
          </w:p>
        </w:tc>
        <w:tc>
          <w:tcPr>
            <w:tcW w:w="3180" w:type="dxa"/>
            <w:tcMar>
              <w:top w:w="0" w:type="dxa"/>
              <w:bottom w:w="0" w:type="dxa"/>
            </w:tcMar>
            <w:vAlign w:val="center"/>
          </w:tcPr>
          <w:p w14:paraId="54B2C86C" w14:textId="77777777" w:rsidR="00E66105"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69BFCC7F" w14:textId="77777777" w:rsidR="00E66105" w:rsidRDefault="00000000">
            <w:pPr>
              <w:keepNext/>
              <w:keepLines/>
              <w:spacing w:after="0" w:line="240" w:lineRule="auto"/>
            </w:pPr>
            <w:r>
              <w:rPr>
                <w:sz w:val="18"/>
              </w:rPr>
              <w:t>329</w:t>
            </w:r>
          </w:p>
        </w:tc>
        <w:tc>
          <w:tcPr>
            <w:tcW w:w="1860" w:type="dxa"/>
            <w:tcMar>
              <w:top w:w="0" w:type="dxa"/>
              <w:bottom w:w="0" w:type="dxa"/>
            </w:tcMar>
            <w:vAlign w:val="center"/>
          </w:tcPr>
          <w:p w14:paraId="7E15083D" w14:textId="77777777" w:rsidR="00E66105" w:rsidRDefault="00000000">
            <w:pPr>
              <w:keepNext/>
              <w:keepLines/>
              <w:spacing w:after="0" w:line="240" w:lineRule="auto"/>
              <w:jc w:val="right"/>
            </w:pPr>
            <w:r>
              <w:rPr>
                <w:sz w:val="18"/>
              </w:rPr>
              <w:t>2.607,30</w:t>
            </w:r>
          </w:p>
        </w:tc>
        <w:tc>
          <w:tcPr>
            <w:tcW w:w="1860" w:type="dxa"/>
            <w:tcMar>
              <w:top w:w="0" w:type="dxa"/>
              <w:bottom w:w="0" w:type="dxa"/>
            </w:tcMar>
            <w:vAlign w:val="center"/>
          </w:tcPr>
          <w:p w14:paraId="07E9FFC7" w14:textId="77777777" w:rsidR="00E66105" w:rsidRDefault="00000000">
            <w:pPr>
              <w:keepNext/>
              <w:keepLines/>
              <w:spacing w:after="0" w:line="240" w:lineRule="auto"/>
              <w:jc w:val="right"/>
            </w:pPr>
            <w:r>
              <w:rPr>
                <w:sz w:val="18"/>
              </w:rPr>
              <w:t>3.615,26</w:t>
            </w:r>
          </w:p>
        </w:tc>
        <w:tc>
          <w:tcPr>
            <w:tcW w:w="700" w:type="dxa"/>
            <w:tcMar>
              <w:top w:w="0" w:type="dxa"/>
              <w:bottom w:w="0" w:type="dxa"/>
            </w:tcMar>
            <w:vAlign w:val="center"/>
          </w:tcPr>
          <w:p w14:paraId="37063342" w14:textId="77777777" w:rsidR="00E66105" w:rsidRDefault="00000000">
            <w:pPr>
              <w:keepNext/>
              <w:keepLines/>
              <w:spacing w:after="0" w:line="240" w:lineRule="auto"/>
              <w:jc w:val="right"/>
            </w:pPr>
            <w:r>
              <w:rPr>
                <w:sz w:val="18"/>
              </w:rPr>
              <w:t>138,7</w:t>
            </w:r>
          </w:p>
        </w:tc>
      </w:tr>
    </w:tbl>
    <w:p w14:paraId="2840E93F" w14:textId="77777777" w:rsidR="00E66105" w:rsidRDefault="00E66105">
      <w:pPr>
        <w:spacing w:after="0"/>
      </w:pPr>
    </w:p>
    <w:p w14:paraId="5D40CBD5" w14:textId="77777777" w:rsidR="00E66105" w:rsidRDefault="00000000">
      <w:r>
        <w:t>Ostali nespomenuti rashodi poslovanja izvršeni su u iznosu od 3.615,26 EUR i veći su za 38,7 % u odnosu na izvršenje u izvještajnom razdoblju prethodne godine. Unutar podskupine ostalih nespomenutih rashoda, glavna odstupanja odnose se na rashode za naknadu za rad predstavničkih i izvršnih tijela, povjerenstava i slično, ostvareni su u iznosu od 2.433,99 eur, odnosno 125,7% više u odnosu na prethodnu godinu.</w:t>
      </w:r>
    </w:p>
    <w:p w14:paraId="19D8A231" w14:textId="77777777" w:rsidR="00E66105" w:rsidRDefault="00E66105"/>
    <w:p w14:paraId="26D2F649" w14:textId="77777777" w:rsidR="00E66105"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2F6451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3F291D"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18E1CD"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9B4C05"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C0076E"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E9AF7F"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FE7F3F" w14:textId="77777777" w:rsidR="00E66105" w:rsidRDefault="00000000">
            <w:pPr>
              <w:keepNext/>
              <w:keepLines/>
              <w:spacing w:after="0" w:line="240" w:lineRule="auto"/>
              <w:jc w:val="center"/>
            </w:pPr>
            <w:r>
              <w:rPr>
                <w:b/>
                <w:sz w:val="18"/>
              </w:rPr>
              <w:t>Indeks (%)</w:t>
            </w:r>
          </w:p>
        </w:tc>
      </w:tr>
      <w:tr w:rsidR="00E66105" w14:paraId="04329F5A" w14:textId="77777777">
        <w:tblPrEx>
          <w:tblCellMar>
            <w:top w:w="0" w:type="dxa"/>
            <w:bottom w:w="0" w:type="dxa"/>
          </w:tblCellMar>
        </w:tblPrEx>
        <w:trPr>
          <w:cantSplit/>
          <w:trHeight w:val="560"/>
        </w:trPr>
        <w:tc>
          <w:tcPr>
            <w:tcW w:w="700" w:type="dxa"/>
            <w:tcMar>
              <w:top w:w="0" w:type="dxa"/>
              <w:bottom w:w="0" w:type="dxa"/>
            </w:tcMar>
            <w:vAlign w:val="center"/>
          </w:tcPr>
          <w:p w14:paraId="36A21A7B" w14:textId="77777777" w:rsidR="00E66105" w:rsidRDefault="00000000">
            <w:pPr>
              <w:keepNext/>
              <w:keepLines/>
              <w:spacing w:after="0" w:line="240" w:lineRule="auto"/>
            </w:pPr>
            <w:r>
              <w:rPr>
                <w:sz w:val="18"/>
              </w:rPr>
              <w:t>34</w:t>
            </w:r>
          </w:p>
        </w:tc>
        <w:tc>
          <w:tcPr>
            <w:tcW w:w="3180" w:type="dxa"/>
            <w:tcMar>
              <w:top w:w="0" w:type="dxa"/>
              <w:bottom w:w="0" w:type="dxa"/>
            </w:tcMar>
            <w:vAlign w:val="center"/>
          </w:tcPr>
          <w:p w14:paraId="03DEBCB3" w14:textId="77777777" w:rsidR="00E66105"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12F9D49B" w14:textId="77777777" w:rsidR="00E66105" w:rsidRDefault="00000000">
            <w:pPr>
              <w:keepNext/>
              <w:keepLines/>
              <w:spacing w:after="0" w:line="240" w:lineRule="auto"/>
            </w:pPr>
            <w:r>
              <w:rPr>
                <w:sz w:val="18"/>
              </w:rPr>
              <w:t>34</w:t>
            </w:r>
          </w:p>
        </w:tc>
        <w:tc>
          <w:tcPr>
            <w:tcW w:w="1860" w:type="dxa"/>
            <w:tcMar>
              <w:top w:w="0" w:type="dxa"/>
              <w:bottom w:w="0" w:type="dxa"/>
            </w:tcMar>
            <w:vAlign w:val="center"/>
          </w:tcPr>
          <w:p w14:paraId="155DECEB" w14:textId="77777777" w:rsidR="00E66105" w:rsidRDefault="00000000">
            <w:pPr>
              <w:keepNext/>
              <w:keepLines/>
              <w:spacing w:after="0" w:line="240" w:lineRule="auto"/>
              <w:jc w:val="right"/>
            </w:pPr>
            <w:r>
              <w:rPr>
                <w:sz w:val="18"/>
              </w:rPr>
              <w:t>1.392,63</w:t>
            </w:r>
          </w:p>
        </w:tc>
        <w:tc>
          <w:tcPr>
            <w:tcW w:w="1860" w:type="dxa"/>
            <w:tcMar>
              <w:top w:w="0" w:type="dxa"/>
              <w:bottom w:w="0" w:type="dxa"/>
            </w:tcMar>
            <w:vAlign w:val="center"/>
          </w:tcPr>
          <w:p w14:paraId="4F56A619" w14:textId="77777777" w:rsidR="00E66105" w:rsidRDefault="00000000">
            <w:pPr>
              <w:keepNext/>
              <w:keepLines/>
              <w:spacing w:after="0" w:line="240" w:lineRule="auto"/>
              <w:jc w:val="right"/>
            </w:pPr>
            <w:r>
              <w:rPr>
                <w:sz w:val="18"/>
              </w:rPr>
              <w:t>993,75</w:t>
            </w:r>
          </w:p>
        </w:tc>
        <w:tc>
          <w:tcPr>
            <w:tcW w:w="700" w:type="dxa"/>
            <w:tcMar>
              <w:top w:w="0" w:type="dxa"/>
              <w:bottom w:w="0" w:type="dxa"/>
            </w:tcMar>
            <w:vAlign w:val="center"/>
          </w:tcPr>
          <w:p w14:paraId="4A2EE5CC" w14:textId="77777777" w:rsidR="00E66105" w:rsidRDefault="00000000">
            <w:pPr>
              <w:keepNext/>
              <w:keepLines/>
              <w:spacing w:after="0" w:line="240" w:lineRule="auto"/>
              <w:jc w:val="right"/>
            </w:pPr>
            <w:r>
              <w:rPr>
                <w:sz w:val="18"/>
              </w:rPr>
              <w:t>71,4</w:t>
            </w:r>
          </w:p>
        </w:tc>
      </w:tr>
    </w:tbl>
    <w:p w14:paraId="2517E3D0" w14:textId="77777777" w:rsidR="00E66105" w:rsidRDefault="00E66105">
      <w:pPr>
        <w:spacing w:after="0"/>
      </w:pPr>
    </w:p>
    <w:p w14:paraId="208B6B2C" w14:textId="77777777" w:rsidR="00E66105" w:rsidRDefault="00000000">
      <w:r>
        <w:t>Financijski rashodi izvršeni su u iznosu 993,75 EUR i manji su za 28,6 % u odnosu na prethodnu godinu. Navedeni rashodi se odnose na bankarsku naknadu.</w:t>
      </w:r>
    </w:p>
    <w:p w14:paraId="1F9B2AD6" w14:textId="77777777" w:rsidR="00E66105" w:rsidRDefault="00E66105"/>
    <w:p w14:paraId="1EC721E5" w14:textId="77777777" w:rsidR="00E6610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414A85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6C12F9"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20D0EB"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BA7E2"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643AC7"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2FCE8A"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1373B3" w14:textId="77777777" w:rsidR="00E66105" w:rsidRDefault="00000000">
            <w:pPr>
              <w:keepNext/>
              <w:keepLines/>
              <w:spacing w:after="0" w:line="240" w:lineRule="auto"/>
              <w:jc w:val="center"/>
            </w:pPr>
            <w:r>
              <w:rPr>
                <w:b/>
                <w:sz w:val="18"/>
              </w:rPr>
              <w:t>Indeks (%)</w:t>
            </w:r>
          </w:p>
        </w:tc>
      </w:tr>
      <w:tr w:rsidR="00E66105" w14:paraId="2C9C9799" w14:textId="77777777">
        <w:tblPrEx>
          <w:tblCellMar>
            <w:top w:w="0" w:type="dxa"/>
            <w:bottom w:w="0" w:type="dxa"/>
          </w:tblCellMar>
        </w:tblPrEx>
        <w:trPr>
          <w:cantSplit/>
          <w:trHeight w:val="560"/>
        </w:trPr>
        <w:tc>
          <w:tcPr>
            <w:tcW w:w="700" w:type="dxa"/>
            <w:tcMar>
              <w:top w:w="0" w:type="dxa"/>
              <w:bottom w:w="0" w:type="dxa"/>
            </w:tcMar>
            <w:vAlign w:val="center"/>
          </w:tcPr>
          <w:p w14:paraId="62F51EAB" w14:textId="77777777" w:rsidR="00E66105" w:rsidRDefault="00E66105">
            <w:pPr>
              <w:keepNext/>
              <w:keepLines/>
              <w:spacing w:after="0" w:line="240" w:lineRule="auto"/>
            </w:pPr>
          </w:p>
        </w:tc>
        <w:tc>
          <w:tcPr>
            <w:tcW w:w="3180" w:type="dxa"/>
            <w:tcMar>
              <w:top w:w="0" w:type="dxa"/>
              <w:bottom w:w="0" w:type="dxa"/>
            </w:tcMar>
            <w:vAlign w:val="center"/>
          </w:tcPr>
          <w:p w14:paraId="70A67443" w14:textId="77777777" w:rsidR="00E66105"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3CC72EFE" w14:textId="77777777" w:rsidR="00E66105" w:rsidRDefault="00000000">
            <w:pPr>
              <w:keepNext/>
              <w:keepLines/>
              <w:spacing w:after="0" w:line="240" w:lineRule="auto"/>
            </w:pPr>
            <w:r>
              <w:rPr>
                <w:sz w:val="18"/>
              </w:rPr>
              <w:t>Y006</w:t>
            </w:r>
          </w:p>
        </w:tc>
        <w:tc>
          <w:tcPr>
            <w:tcW w:w="1860" w:type="dxa"/>
            <w:tcMar>
              <w:top w:w="0" w:type="dxa"/>
              <w:bottom w:w="0" w:type="dxa"/>
            </w:tcMar>
            <w:vAlign w:val="center"/>
          </w:tcPr>
          <w:p w14:paraId="40629B78" w14:textId="77777777" w:rsidR="00E66105" w:rsidRDefault="00000000">
            <w:pPr>
              <w:keepNext/>
              <w:keepLines/>
              <w:spacing w:after="0" w:line="240" w:lineRule="auto"/>
              <w:jc w:val="right"/>
            </w:pPr>
            <w:r>
              <w:rPr>
                <w:sz w:val="18"/>
              </w:rPr>
              <w:t>10.390,89</w:t>
            </w:r>
          </w:p>
        </w:tc>
        <w:tc>
          <w:tcPr>
            <w:tcW w:w="1860" w:type="dxa"/>
            <w:tcMar>
              <w:top w:w="0" w:type="dxa"/>
              <w:bottom w:w="0" w:type="dxa"/>
            </w:tcMar>
            <w:vAlign w:val="center"/>
          </w:tcPr>
          <w:p w14:paraId="21F3123A" w14:textId="77777777" w:rsidR="00E66105" w:rsidRDefault="00000000">
            <w:pPr>
              <w:keepNext/>
              <w:keepLines/>
              <w:spacing w:after="0" w:line="240" w:lineRule="auto"/>
              <w:jc w:val="right"/>
            </w:pPr>
            <w:r>
              <w:rPr>
                <w:sz w:val="18"/>
              </w:rPr>
              <w:t>1.344,53</w:t>
            </w:r>
          </w:p>
        </w:tc>
        <w:tc>
          <w:tcPr>
            <w:tcW w:w="700" w:type="dxa"/>
            <w:tcMar>
              <w:top w:w="0" w:type="dxa"/>
              <w:bottom w:w="0" w:type="dxa"/>
            </w:tcMar>
            <w:vAlign w:val="center"/>
          </w:tcPr>
          <w:p w14:paraId="050F076D" w14:textId="77777777" w:rsidR="00E66105" w:rsidRDefault="00000000">
            <w:pPr>
              <w:keepNext/>
              <w:keepLines/>
              <w:spacing w:after="0" w:line="240" w:lineRule="auto"/>
              <w:jc w:val="right"/>
            </w:pPr>
            <w:r>
              <w:rPr>
                <w:sz w:val="18"/>
              </w:rPr>
              <w:t>12,9</w:t>
            </w:r>
          </w:p>
        </w:tc>
      </w:tr>
    </w:tbl>
    <w:p w14:paraId="0E708880" w14:textId="77777777" w:rsidR="00E66105" w:rsidRDefault="00E66105">
      <w:pPr>
        <w:spacing w:after="0"/>
      </w:pPr>
    </w:p>
    <w:p w14:paraId="0E3147A8" w14:textId="77777777" w:rsidR="00E66105" w:rsidRDefault="00000000">
      <w:r>
        <w:t>U izvještajnom razdoblju ostvaren je ukupan višak prihoda i primitaka (šifra X005) u iznosu 9.046,36 EUR, proizašao je iz:</w:t>
      </w:r>
    </w:p>
    <w:p w14:paraId="1396B181" w14:textId="77777777" w:rsidR="00E66105" w:rsidRDefault="00000000">
      <w:r>
        <w:t>-        viška prihoda od poslovanja (X001) 9.046,36 EUR.</w:t>
      </w:r>
    </w:p>
    <w:p w14:paraId="1724618E" w14:textId="77777777" w:rsidR="00E66105" w:rsidRDefault="00000000">
      <w:r>
        <w:t>Preneseni manjak prihoda i primitaka (šifra 9222-9221) iskazan je u iznosu od 10.390,89 EUR. U 2025. godini nije bilo ispravaka pogreški iz prethodnog razdoblja koje zahtijevaju diranje računa rezultata.</w:t>
      </w:r>
    </w:p>
    <w:p w14:paraId="69BF4732" w14:textId="77777777" w:rsidR="00E66105" w:rsidRDefault="00000000">
      <w:r>
        <w:t>Manjak prihoda i primitaka - preneseni (šifra 9222-9221 tekuće godine) smanjuje se za ostvareni višak prihoda i primitaka tekuće godine u iznosu od 10.390,89 EUR (šifra X005), tako da manjak prihoda i primitaka za pokriće u sljedećem razdoblju iznosi 1.344,53 EUR (šifra Y006). </w:t>
      </w:r>
    </w:p>
    <w:p w14:paraId="6A1B355C" w14:textId="77777777" w:rsidR="00E66105" w:rsidRDefault="00E66105"/>
    <w:p w14:paraId="30DAEF5A" w14:textId="77777777" w:rsidR="00E66105" w:rsidRDefault="00000000">
      <w:pPr>
        <w:keepNext/>
        <w:spacing w:line="240" w:lineRule="auto"/>
        <w:jc w:val="center"/>
      </w:pPr>
      <w:r>
        <w:rPr>
          <w:b/>
          <w:sz w:val="28"/>
        </w:rPr>
        <w:lastRenderedPageBreak/>
        <w:t>Bilanca</w:t>
      </w:r>
    </w:p>
    <w:p w14:paraId="5A1D1CDF" w14:textId="77777777" w:rsidR="00E66105"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699904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E9744D"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1F66EA"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BC2102"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4B2942"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7AB984"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2BF66A" w14:textId="77777777" w:rsidR="00E66105" w:rsidRDefault="00000000">
            <w:pPr>
              <w:keepNext/>
              <w:keepLines/>
              <w:spacing w:after="0" w:line="240" w:lineRule="auto"/>
              <w:jc w:val="center"/>
            </w:pPr>
            <w:r>
              <w:rPr>
                <w:b/>
                <w:sz w:val="18"/>
              </w:rPr>
              <w:t>Indeks (%)</w:t>
            </w:r>
          </w:p>
        </w:tc>
      </w:tr>
      <w:tr w:rsidR="00E66105" w14:paraId="5B363E1A" w14:textId="77777777">
        <w:tblPrEx>
          <w:tblCellMar>
            <w:top w:w="0" w:type="dxa"/>
            <w:bottom w:w="0" w:type="dxa"/>
          </w:tblCellMar>
        </w:tblPrEx>
        <w:trPr>
          <w:cantSplit/>
          <w:trHeight w:val="560"/>
        </w:trPr>
        <w:tc>
          <w:tcPr>
            <w:tcW w:w="700" w:type="dxa"/>
            <w:tcMar>
              <w:top w:w="0" w:type="dxa"/>
              <w:bottom w:w="0" w:type="dxa"/>
            </w:tcMar>
            <w:vAlign w:val="center"/>
          </w:tcPr>
          <w:p w14:paraId="2E5E7EFE" w14:textId="77777777" w:rsidR="00E66105" w:rsidRDefault="00E66105">
            <w:pPr>
              <w:keepNext/>
              <w:keepLines/>
              <w:spacing w:after="0" w:line="240" w:lineRule="auto"/>
            </w:pPr>
          </w:p>
        </w:tc>
        <w:tc>
          <w:tcPr>
            <w:tcW w:w="3180" w:type="dxa"/>
            <w:tcMar>
              <w:top w:w="0" w:type="dxa"/>
              <w:bottom w:w="0" w:type="dxa"/>
            </w:tcMar>
            <w:vAlign w:val="center"/>
          </w:tcPr>
          <w:p w14:paraId="7A3AA505" w14:textId="77777777" w:rsidR="00E66105" w:rsidRDefault="00000000">
            <w:pPr>
              <w:keepNext/>
              <w:keepLines/>
              <w:spacing w:after="0" w:line="240" w:lineRule="auto"/>
            </w:pPr>
            <w:r>
              <w:rPr>
                <w:sz w:val="18"/>
              </w:rPr>
              <w:t>IMOVINA (šifre B002+1)</w:t>
            </w:r>
          </w:p>
        </w:tc>
        <w:tc>
          <w:tcPr>
            <w:tcW w:w="700" w:type="dxa"/>
            <w:tcMar>
              <w:top w:w="0" w:type="dxa"/>
              <w:bottom w:w="0" w:type="dxa"/>
            </w:tcMar>
            <w:vAlign w:val="center"/>
          </w:tcPr>
          <w:p w14:paraId="36D9AD59" w14:textId="77777777" w:rsidR="00E66105" w:rsidRDefault="00000000">
            <w:pPr>
              <w:keepNext/>
              <w:keepLines/>
              <w:spacing w:after="0" w:line="240" w:lineRule="auto"/>
            </w:pPr>
            <w:r>
              <w:rPr>
                <w:sz w:val="18"/>
              </w:rPr>
              <w:t>B001</w:t>
            </w:r>
          </w:p>
        </w:tc>
        <w:tc>
          <w:tcPr>
            <w:tcW w:w="1860" w:type="dxa"/>
            <w:tcMar>
              <w:top w:w="0" w:type="dxa"/>
              <w:bottom w:w="0" w:type="dxa"/>
            </w:tcMar>
            <w:vAlign w:val="center"/>
          </w:tcPr>
          <w:p w14:paraId="57DC04F9" w14:textId="77777777" w:rsidR="00E66105" w:rsidRDefault="00000000">
            <w:pPr>
              <w:keepNext/>
              <w:keepLines/>
              <w:spacing w:after="0" w:line="240" w:lineRule="auto"/>
              <w:jc w:val="right"/>
            </w:pPr>
            <w:r>
              <w:rPr>
                <w:sz w:val="18"/>
              </w:rPr>
              <w:t>62.241,69</w:t>
            </w:r>
          </w:p>
        </w:tc>
        <w:tc>
          <w:tcPr>
            <w:tcW w:w="1860" w:type="dxa"/>
            <w:tcMar>
              <w:top w:w="0" w:type="dxa"/>
              <w:bottom w:w="0" w:type="dxa"/>
            </w:tcMar>
            <w:vAlign w:val="center"/>
          </w:tcPr>
          <w:p w14:paraId="2EB7B5E6" w14:textId="77777777" w:rsidR="00E66105" w:rsidRDefault="00000000">
            <w:pPr>
              <w:keepNext/>
              <w:keepLines/>
              <w:spacing w:after="0" w:line="240" w:lineRule="auto"/>
              <w:jc w:val="right"/>
            </w:pPr>
            <w:r>
              <w:rPr>
                <w:sz w:val="18"/>
              </w:rPr>
              <w:t>86.773,28</w:t>
            </w:r>
          </w:p>
        </w:tc>
        <w:tc>
          <w:tcPr>
            <w:tcW w:w="700" w:type="dxa"/>
            <w:tcMar>
              <w:top w:w="0" w:type="dxa"/>
              <w:bottom w:w="0" w:type="dxa"/>
            </w:tcMar>
            <w:vAlign w:val="center"/>
          </w:tcPr>
          <w:p w14:paraId="58CA128B" w14:textId="77777777" w:rsidR="00E66105" w:rsidRDefault="00000000">
            <w:pPr>
              <w:keepNext/>
              <w:keepLines/>
              <w:spacing w:after="0" w:line="240" w:lineRule="auto"/>
              <w:jc w:val="right"/>
            </w:pPr>
            <w:r>
              <w:rPr>
                <w:sz w:val="18"/>
              </w:rPr>
              <w:t>139,4</w:t>
            </w:r>
          </w:p>
        </w:tc>
      </w:tr>
    </w:tbl>
    <w:p w14:paraId="4AF962F5" w14:textId="77777777" w:rsidR="00E66105" w:rsidRDefault="00E66105">
      <w:pPr>
        <w:spacing w:after="0"/>
      </w:pPr>
    </w:p>
    <w:p w14:paraId="5C561FFA" w14:textId="77777777" w:rsidR="00E66105" w:rsidRDefault="00000000">
      <w:r>
        <w:t>Vrijednost ukupne imovine na dan 31. prosinca 20245 godine iznosi 86.773,28 EUR i u odnosu na stanje imovine 1. siječnja 2025. godine evidentno je povećanje za 39,4 %. Udio financijske imovine u ukupnoj imovini iznosi 82,04 %, dok nefinancijska imovina u ukupnoj imovini Dječjeg vrtića participira udjelom od 17,96 %.</w:t>
      </w:r>
    </w:p>
    <w:p w14:paraId="6F15A4E4" w14:textId="77777777" w:rsidR="00E66105" w:rsidRDefault="00E66105"/>
    <w:p w14:paraId="2C63AE53" w14:textId="77777777" w:rsidR="00E66105"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32B6FF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23646C"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D03489"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7C598B"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83E104"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5C4726"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223779" w14:textId="77777777" w:rsidR="00E66105" w:rsidRDefault="00000000">
            <w:pPr>
              <w:keepNext/>
              <w:keepLines/>
              <w:spacing w:after="0" w:line="240" w:lineRule="auto"/>
              <w:jc w:val="center"/>
            </w:pPr>
            <w:r>
              <w:rPr>
                <w:b/>
                <w:sz w:val="18"/>
              </w:rPr>
              <w:t>Indeks (%)</w:t>
            </w:r>
          </w:p>
        </w:tc>
      </w:tr>
      <w:tr w:rsidR="00E66105" w14:paraId="4328EE2B" w14:textId="77777777">
        <w:tblPrEx>
          <w:tblCellMar>
            <w:top w:w="0" w:type="dxa"/>
            <w:bottom w:w="0" w:type="dxa"/>
          </w:tblCellMar>
        </w:tblPrEx>
        <w:trPr>
          <w:cantSplit/>
          <w:trHeight w:val="560"/>
        </w:trPr>
        <w:tc>
          <w:tcPr>
            <w:tcW w:w="700" w:type="dxa"/>
            <w:tcMar>
              <w:top w:w="0" w:type="dxa"/>
              <w:bottom w:w="0" w:type="dxa"/>
            </w:tcMar>
            <w:vAlign w:val="center"/>
          </w:tcPr>
          <w:p w14:paraId="317152E9" w14:textId="77777777" w:rsidR="00E66105" w:rsidRDefault="00000000">
            <w:pPr>
              <w:keepNext/>
              <w:keepLines/>
              <w:spacing w:after="0" w:line="240" w:lineRule="auto"/>
            </w:pPr>
            <w:r>
              <w:rPr>
                <w:sz w:val="18"/>
              </w:rPr>
              <w:t>0</w:t>
            </w:r>
          </w:p>
        </w:tc>
        <w:tc>
          <w:tcPr>
            <w:tcW w:w="3180" w:type="dxa"/>
            <w:tcMar>
              <w:top w:w="0" w:type="dxa"/>
              <w:bottom w:w="0" w:type="dxa"/>
            </w:tcMar>
            <w:vAlign w:val="center"/>
          </w:tcPr>
          <w:p w14:paraId="63868078" w14:textId="77777777" w:rsidR="00E66105"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39FB74E7" w14:textId="77777777" w:rsidR="00E66105" w:rsidRDefault="00000000">
            <w:pPr>
              <w:keepNext/>
              <w:keepLines/>
              <w:spacing w:after="0" w:line="240" w:lineRule="auto"/>
            </w:pPr>
            <w:r>
              <w:rPr>
                <w:sz w:val="18"/>
              </w:rPr>
              <w:t>B002</w:t>
            </w:r>
          </w:p>
        </w:tc>
        <w:tc>
          <w:tcPr>
            <w:tcW w:w="1860" w:type="dxa"/>
            <w:tcMar>
              <w:top w:w="0" w:type="dxa"/>
              <w:bottom w:w="0" w:type="dxa"/>
            </w:tcMar>
            <w:vAlign w:val="center"/>
          </w:tcPr>
          <w:p w14:paraId="7EC09EAD" w14:textId="77777777" w:rsidR="00E66105" w:rsidRDefault="00000000">
            <w:pPr>
              <w:keepNext/>
              <w:keepLines/>
              <w:spacing w:after="0" w:line="240" w:lineRule="auto"/>
              <w:jc w:val="right"/>
            </w:pPr>
            <w:r>
              <w:rPr>
                <w:sz w:val="18"/>
              </w:rPr>
              <w:t>16.342,52</w:t>
            </w:r>
          </w:p>
        </w:tc>
        <w:tc>
          <w:tcPr>
            <w:tcW w:w="1860" w:type="dxa"/>
            <w:tcMar>
              <w:top w:w="0" w:type="dxa"/>
              <w:bottom w:w="0" w:type="dxa"/>
            </w:tcMar>
            <w:vAlign w:val="center"/>
          </w:tcPr>
          <w:p w14:paraId="3E944E1B" w14:textId="77777777" w:rsidR="00E66105" w:rsidRDefault="00000000">
            <w:pPr>
              <w:keepNext/>
              <w:keepLines/>
              <w:spacing w:after="0" w:line="240" w:lineRule="auto"/>
              <w:jc w:val="right"/>
            </w:pPr>
            <w:r>
              <w:rPr>
                <w:sz w:val="18"/>
              </w:rPr>
              <w:t>15.585,71</w:t>
            </w:r>
          </w:p>
        </w:tc>
        <w:tc>
          <w:tcPr>
            <w:tcW w:w="700" w:type="dxa"/>
            <w:tcMar>
              <w:top w:w="0" w:type="dxa"/>
              <w:bottom w:w="0" w:type="dxa"/>
            </w:tcMar>
            <w:vAlign w:val="center"/>
          </w:tcPr>
          <w:p w14:paraId="5A853401" w14:textId="77777777" w:rsidR="00E66105" w:rsidRDefault="00000000">
            <w:pPr>
              <w:keepNext/>
              <w:keepLines/>
              <w:spacing w:after="0" w:line="240" w:lineRule="auto"/>
              <w:jc w:val="right"/>
            </w:pPr>
            <w:r>
              <w:rPr>
                <w:sz w:val="18"/>
              </w:rPr>
              <w:t>95,4</w:t>
            </w:r>
          </w:p>
        </w:tc>
      </w:tr>
    </w:tbl>
    <w:p w14:paraId="1445BF5D" w14:textId="77777777" w:rsidR="00E66105" w:rsidRDefault="00E66105">
      <w:pPr>
        <w:spacing w:after="0"/>
      </w:pPr>
    </w:p>
    <w:p w14:paraId="52CB2129" w14:textId="77777777" w:rsidR="00E66105" w:rsidRDefault="00000000">
      <w:r>
        <w:t>Ukupna vrijednost nefinancijske imovine na dan 31. prosinca 2025. iznosi 15.585,71 EUR i u odnosu na prethodnu godinu manja je za 4,6%.</w:t>
      </w:r>
    </w:p>
    <w:p w14:paraId="55C3FB95" w14:textId="77777777" w:rsidR="00E66105" w:rsidRDefault="00000000">
      <w:r>
        <w:t>Proizvedena dugotrajna imovina (šifra 02) – Vrijednost proizvedene dugotrajne imovine na dan 31. prosinca 2025. iznosi 4.651,84 EUR te je manja za 14,0 % u odnosu na prethodnu godinu.</w:t>
      </w:r>
    </w:p>
    <w:p w14:paraId="5A976D3A" w14:textId="77777777" w:rsidR="00E66105" w:rsidRDefault="00000000">
      <w:r>
        <w:t>Postrojenja i oprema (šifra 022 i 02922) – Vrijednost postrojenja i opreme na dan 31. prosinca 2025. godine iznosi 3.988,23 EUR te je manja za 9,6 % u odnosu na prethodnu godinu.</w:t>
      </w:r>
    </w:p>
    <w:p w14:paraId="7E462BB3" w14:textId="77777777" w:rsidR="00E66105" w:rsidRDefault="00000000">
      <w:r>
        <w:t>Dugotrajna nefinancijska imovina u pripremi (šifra 051 i 056) – Vrijednost na dan 31. prosinca 2025. godine iznosi 10.933,87 EUR te je jednaka u odnosu na prethodnu godinu.</w:t>
      </w:r>
    </w:p>
    <w:p w14:paraId="650765DD" w14:textId="77777777" w:rsidR="00E66105" w:rsidRDefault="00E66105"/>
    <w:p w14:paraId="67DBC898" w14:textId="77777777" w:rsidR="00E66105"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047E78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AB4BFA"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8EB114"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2C1E76"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9978AC"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B7363A"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A81D73" w14:textId="77777777" w:rsidR="00E66105" w:rsidRDefault="00000000">
            <w:pPr>
              <w:keepNext/>
              <w:keepLines/>
              <w:spacing w:after="0" w:line="240" w:lineRule="auto"/>
              <w:jc w:val="center"/>
            </w:pPr>
            <w:r>
              <w:rPr>
                <w:b/>
                <w:sz w:val="18"/>
              </w:rPr>
              <w:t>Indeks (%)</w:t>
            </w:r>
          </w:p>
        </w:tc>
      </w:tr>
      <w:tr w:rsidR="00E66105" w14:paraId="2750EE25" w14:textId="77777777">
        <w:tblPrEx>
          <w:tblCellMar>
            <w:top w:w="0" w:type="dxa"/>
            <w:bottom w:w="0" w:type="dxa"/>
          </w:tblCellMar>
        </w:tblPrEx>
        <w:trPr>
          <w:cantSplit/>
          <w:trHeight w:val="560"/>
        </w:trPr>
        <w:tc>
          <w:tcPr>
            <w:tcW w:w="700" w:type="dxa"/>
            <w:tcMar>
              <w:top w:w="0" w:type="dxa"/>
              <w:bottom w:w="0" w:type="dxa"/>
            </w:tcMar>
            <w:vAlign w:val="center"/>
          </w:tcPr>
          <w:p w14:paraId="02D2678C" w14:textId="77777777" w:rsidR="00E66105" w:rsidRDefault="00000000">
            <w:pPr>
              <w:keepNext/>
              <w:keepLines/>
              <w:spacing w:after="0" w:line="240" w:lineRule="auto"/>
            </w:pPr>
            <w:r>
              <w:rPr>
                <w:sz w:val="18"/>
              </w:rPr>
              <w:t>1</w:t>
            </w:r>
          </w:p>
        </w:tc>
        <w:tc>
          <w:tcPr>
            <w:tcW w:w="3180" w:type="dxa"/>
            <w:tcMar>
              <w:top w:w="0" w:type="dxa"/>
              <w:bottom w:w="0" w:type="dxa"/>
            </w:tcMar>
            <w:vAlign w:val="center"/>
          </w:tcPr>
          <w:p w14:paraId="5CDB2120" w14:textId="77777777" w:rsidR="00E66105"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5D92BC77" w14:textId="77777777" w:rsidR="00E66105" w:rsidRDefault="00000000">
            <w:pPr>
              <w:keepNext/>
              <w:keepLines/>
              <w:spacing w:after="0" w:line="240" w:lineRule="auto"/>
            </w:pPr>
            <w:r>
              <w:rPr>
                <w:sz w:val="18"/>
              </w:rPr>
              <w:t>1</w:t>
            </w:r>
          </w:p>
        </w:tc>
        <w:tc>
          <w:tcPr>
            <w:tcW w:w="1860" w:type="dxa"/>
            <w:tcMar>
              <w:top w:w="0" w:type="dxa"/>
              <w:bottom w:w="0" w:type="dxa"/>
            </w:tcMar>
            <w:vAlign w:val="center"/>
          </w:tcPr>
          <w:p w14:paraId="61550B07" w14:textId="77777777" w:rsidR="00E66105" w:rsidRDefault="00000000">
            <w:pPr>
              <w:keepNext/>
              <w:keepLines/>
              <w:spacing w:after="0" w:line="240" w:lineRule="auto"/>
              <w:jc w:val="right"/>
            </w:pPr>
            <w:r>
              <w:rPr>
                <w:sz w:val="18"/>
              </w:rPr>
              <w:t>45.899,17</w:t>
            </w:r>
          </w:p>
        </w:tc>
        <w:tc>
          <w:tcPr>
            <w:tcW w:w="1860" w:type="dxa"/>
            <w:tcMar>
              <w:top w:w="0" w:type="dxa"/>
              <w:bottom w:w="0" w:type="dxa"/>
            </w:tcMar>
            <w:vAlign w:val="center"/>
          </w:tcPr>
          <w:p w14:paraId="1694F7AB" w14:textId="77777777" w:rsidR="00E66105" w:rsidRDefault="00000000">
            <w:pPr>
              <w:keepNext/>
              <w:keepLines/>
              <w:spacing w:after="0" w:line="240" w:lineRule="auto"/>
              <w:jc w:val="right"/>
            </w:pPr>
            <w:r>
              <w:rPr>
                <w:sz w:val="18"/>
              </w:rPr>
              <w:t>71.187,57</w:t>
            </w:r>
          </w:p>
        </w:tc>
        <w:tc>
          <w:tcPr>
            <w:tcW w:w="700" w:type="dxa"/>
            <w:tcMar>
              <w:top w:w="0" w:type="dxa"/>
              <w:bottom w:w="0" w:type="dxa"/>
            </w:tcMar>
            <w:vAlign w:val="center"/>
          </w:tcPr>
          <w:p w14:paraId="6BEE12B7" w14:textId="77777777" w:rsidR="00E66105" w:rsidRDefault="00000000">
            <w:pPr>
              <w:keepNext/>
              <w:keepLines/>
              <w:spacing w:after="0" w:line="240" w:lineRule="auto"/>
              <w:jc w:val="right"/>
            </w:pPr>
            <w:r>
              <w:rPr>
                <w:sz w:val="18"/>
              </w:rPr>
              <w:t>155,1</w:t>
            </w:r>
          </w:p>
        </w:tc>
      </w:tr>
    </w:tbl>
    <w:p w14:paraId="66CCB810" w14:textId="77777777" w:rsidR="00E66105" w:rsidRDefault="00E66105">
      <w:pPr>
        <w:spacing w:after="0"/>
      </w:pPr>
    </w:p>
    <w:p w14:paraId="56BE279C" w14:textId="77777777" w:rsidR="00E66105" w:rsidRDefault="00000000">
      <w:r>
        <w:t>Vrijednost ukupne financijske imovine iznosi 71.187,57 EUR i bilježi povećanje za 55,1% u odnosu na stanje 1. siječnja 2025. godine. U sljedećoj tablici prikazana je struktura financijske imovine.</w:t>
      </w:r>
    </w:p>
    <w:tbl>
      <w:tblPr>
        <w:tblStyle w:val="Reetkatablice"/>
        <w:tblW w:w="4658" w:type="pct"/>
        <w:tblLook w:val="04A0" w:firstRow="1" w:lastRow="0" w:firstColumn="1" w:lastColumn="0" w:noHBand="0" w:noVBand="1"/>
      </w:tblPr>
      <w:tblGrid>
        <w:gridCol w:w="1070"/>
        <w:gridCol w:w="2937"/>
        <w:gridCol w:w="1514"/>
        <w:gridCol w:w="1249"/>
        <w:gridCol w:w="1672"/>
      </w:tblGrid>
      <w:tr w:rsidR="00E66105" w14:paraId="4BE85258" w14:textId="77777777">
        <w:trPr>
          <w:trHeight w:val="542"/>
        </w:trPr>
        <w:tc>
          <w:tcPr>
            <w:tcW w:w="633" w:type="pct"/>
            <w:vAlign w:val="center"/>
          </w:tcPr>
          <w:p w14:paraId="580277CB" w14:textId="77777777" w:rsidR="00E66105" w:rsidRDefault="00000000">
            <w:pPr>
              <w:keepNext/>
              <w:jc w:val="center"/>
            </w:pPr>
            <w:r>
              <w:lastRenderedPageBreak/>
              <w:t>Račun iz Rač. plana</w:t>
            </w:r>
          </w:p>
        </w:tc>
        <w:tc>
          <w:tcPr>
            <w:tcW w:w="1738" w:type="pct"/>
            <w:vAlign w:val="center"/>
          </w:tcPr>
          <w:p w14:paraId="71BA84B4" w14:textId="77777777" w:rsidR="00E66105" w:rsidRDefault="00000000">
            <w:pPr>
              <w:keepNext/>
              <w:jc w:val="center"/>
            </w:pPr>
            <w:r>
              <w:t>Opis stavke</w:t>
            </w:r>
          </w:p>
        </w:tc>
        <w:tc>
          <w:tcPr>
            <w:tcW w:w="897" w:type="pct"/>
            <w:vAlign w:val="center"/>
          </w:tcPr>
          <w:p w14:paraId="1B81E50E" w14:textId="77777777" w:rsidR="00E66105" w:rsidRDefault="00000000">
            <w:pPr>
              <w:keepNext/>
              <w:jc w:val="center"/>
            </w:pPr>
            <w:r>
              <w:t>2024.</w:t>
            </w:r>
          </w:p>
        </w:tc>
        <w:tc>
          <w:tcPr>
            <w:tcW w:w="740" w:type="pct"/>
            <w:vAlign w:val="center"/>
          </w:tcPr>
          <w:p w14:paraId="613D00B5" w14:textId="77777777" w:rsidR="00E66105" w:rsidRDefault="00000000">
            <w:pPr>
              <w:keepNext/>
              <w:jc w:val="center"/>
            </w:pPr>
            <w:r>
              <w:t>2025.</w:t>
            </w:r>
          </w:p>
        </w:tc>
        <w:tc>
          <w:tcPr>
            <w:tcW w:w="990" w:type="pct"/>
            <w:vAlign w:val="center"/>
          </w:tcPr>
          <w:p w14:paraId="7C51098D" w14:textId="77777777" w:rsidR="00E66105" w:rsidRDefault="00000000">
            <w:pPr>
              <w:keepNext/>
              <w:jc w:val="center"/>
            </w:pPr>
            <w:r>
              <w:t>Indeks</w:t>
            </w:r>
          </w:p>
        </w:tc>
      </w:tr>
      <w:tr w:rsidR="00E66105" w14:paraId="6A0BB266" w14:textId="77777777">
        <w:trPr>
          <w:trHeight w:val="542"/>
        </w:trPr>
        <w:tc>
          <w:tcPr>
            <w:tcW w:w="633" w:type="pct"/>
            <w:vAlign w:val="center"/>
          </w:tcPr>
          <w:p w14:paraId="2AABD801" w14:textId="77777777" w:rsidR="00E66105" w:rsidRDefault="00000000">
            <w:pPr>
              <w:keepNext/>
              <w:jc w:val="center"/>
            </w:pPr>
            <w:r>
              <w:t>11</w:t>
            </w:r>
          </w:p>
        </w:tc>
        <w:tc>
          <w:tcPr>
            <w:tcW w:w="1738" w:type="pct"/>
            <w:vAlign w:val="center"/>
          </w:tcPr>
          <w:p w14:paraId="1D8A76A2" w14:textId="77777777" w:rsidR="00E66105" w:rsidRDefault="00000000">
            <w:pPr>
              <w:keepNext/>
              <w:jc w:val="center"/>
            </w:pPr>
            <w:r>
              <w:t>Novac u banci i blagajni </w:t>
            </w:r>
          </w:p>
        </w:tc>
        <w:tc>
          <w:tcPr>
            <w:tcW w:w="897" w:type="pct"/>
            <w:vAlign w:val="center"/>
          </w:tcPr>
          <w:p w14:paraId="63F5D747" w14:textId="77777777" w:rsidR="00E66105" w:rsidRDefault="00000000">
            <w:pPr>
              <w:keepNext/>
              <w:jc w:val="center"/>
            </w:pPr>
            <w:r>
              <w:t>32.800,59</w:t>
            </w:r>
          </w:p>
        </w:tc>
        <w:tc>
          <w:tcPr>
            <w:tcW w:w="740" w:type="pct"/>
            <w:vAlign w:val="center"/>
          </w:tcPr>
          <w:p w14:paraId="6950A1FF" w14:textId="77777777" w:rsidR="00E66105" w:rsidRDefault="00000000">
            <w:pPr>
              <w:keepNext/>
              <w:jc w:val="center"/>
            </w:pPr>
            <w:r>
              <w:t>58.938,44</w:t>
            </w:r>
          </w:p>
        </w:tc>
        <w:tc>
          <w:tcPr>
            <w:tcW w:w="990" w:type="pct"/>
            <w:vAlign w:val="center"/>
          </w:tcPr>
          <w:p w14:paraId="5563A05B" w14:textId="77777777" w:rsidR="00E66105" w:rsidRDefault="00000000">
            <w:pPr>
              <w:keepNext/>
              <w:jc w:val="center"/>
            </w:pPr>
            <w:r>
              <w:t>179,7</w:t>
            </w:r>
          </w:p>
        </w:tc>
      </w:tr>
      <w:tr w:rsidR="00E66105" w14:paraId="3E31A71C" w14:textId="77777777">
        <w:trPr>
          <w:trHeight w:val="542"/>
        </w:trPr>
        <w:tc>
          <w:tcPr>
            <w:tcW w:w="633" w:type="pct"/>
            <w:vAlign w:val="center"/>
          </w:tcPr>
          <w:p w14:paraId="5DC7F01C" w14:textId="77777777" w:rsidR="00E66105" w:rsidRDefault="00000000">
            <w:pPr>
              <w:keepNext/>
              <w:jc w:val="center"/>
            </w:pPr>
            <w:r>
              <w:t>12</w:t>
            </w:r>
          </w:p>
        </w:tc>
        <w:tc>
          <w:tcPr>
            <w:tcW w:w="1738" w:type="pct"/>
            <w:vAlign w:val="center"/>
          </w:tcPr>
          <w:p w14:paraId="5A534214" w14:textId="77777777" w:rsidR="00E66105" w:rsidRDefault="00000000">
            <w:pPr>
              <w:keepNext/>
              <w:jc w:val="center"/>
            </w:pPr>
            <w:r>
              <w:t>Depoziti, jamčevni polozi i potraživanja od zaposlenih te za više plaćene poreze i ost.</w:t>
            </w:r>
          </w:p>
        </w:tc>
        <w:tc>
          <w:tcPr>
            <w:tcW w:w="897" w:type="pct"/>
            <w:vAlign w:val="center"/>
          </w:tcPr>
          <w:p w14:paraId="471AE649" w14:textId="77777777" w:rsidR="00E66105" w:rsidRDefault="00000000">
            <w:pPr>
              <w:keepNext/>
              <w:jc w:val="center"/>
            </w:pPr>
            <w:r>
              <w:t>1.058,97</w:t>
            </w:r>
          </w:p>
        </w:tc>
        <w:tc>
          <w:tcPr>
            <w:tcW w:w="740" w:type="pct"/>
            <w:vAlign w:val="center"/>
          </w:tcPr>
          <w:p w14:paraId="6E01635F" w14:textId="77777777" w:rsidR="00E66105" w:rsidRDefault="00000000">
            <w:pPr>
              <w:keepNext/>
              <w:jc w:val="center"/>
            </w:pPr>
            <w:r>
              <w:t>351,87</w:t>
            </w:r>
          </w:p>
        </w:tc>
        <w:tc>
          <w:tcPr>
            <w:tcW w:w="990" w:type="pct"/>
            <w:vAlign w:val="center"/>
          </w:tcPr>
          <w:p w14:paraId="464E2015" w14:textId="77777777" w:rsidR="00E66105" w:rsidRDefault="00000000">
            <w:pPr>
              <w:keepNext/>
              <w:jc w:val="center"/>
            </w:pPr>
            <w:r>
              <w:t>33,2</w:t>
            </w:r>
          </w:p>
        </w:tc>
      </w:tr>
      <w:tr w:rsidR="00E66105" w14:paraId="13D9AAB9" w14:textId="77777777">
        <w:trPr>
          <w:trHeight w:val="542"/>
        </w:trPr>
        <w:tc>
          <w:tcPr>
            <w:tcW w:w="633" w:type="pct"/>
            <w:vAlign w:val="center"/>
          </w:tcPr>
          <w:p w14:paraId="11E4C314" w14:textId="77777777" w:rsidR="00E66105" w:rsidRDefault="00000000">
            <w:pPr>
              <w:keepNext/>
              <w:jc w:val="center"/>
            </w:pPr>
            <w:r>
              <w:t>16</w:t>
            </w:r>
          </w:p>
        </w:tc>
        <w:tc>
          <w:tcPr>
            <w:tcW w:w="1738" w:type="pct"/>
            <w:vAlign w:val="center"/>
          </w:tcPr>
          <w:p w14:paraId="101C8AF2" w14:textId="77777777" w:rsidR="00E66105" w:rsidRDefault="00000000">
            <w:pPr>
              <w:keepNext/>
              <w:jc w:val="center"/>
            </w:pPr>
            <w:r>
              <w:t>Potraživanja za prihode poslovanja </w:t>
            </w:r>
          </w:p>
        </w:tc>
        <w:tc>
          <w:tcPr>
            <w:tcW w:w="897" w:type="pct"/>
            <w:vAlign w:val="center"/>
          </w:tcPr>
          <w:p w14:paraId="320B0DA1" w14:textId="77777777" w:rsidR="00E66105" w:rsidRDefault="00000000">
            <w:pPr>
              <w:keepNext/>
              <w:jc w:val="center"/>
            </w:pPr>
            <w:r>
              <w:t>12.039,61</w:t>
            </w:r>
          </w:p>
        </w:tc>
        <w:tc>
          <w:tcPr>
            <w:tcW w:w="740" w:type="pct"/>
            <w:vAlign w:val="center"/>
          </w:tcPr>
          <w:p w14:paraId="6D16974D" w14:textId="77777777" w:rsidR="00E66105" w:rsidRDefault="00000000">
            <w:pPr>
              <w:keepNext/>
              <w:jc w:val="center"/>
            </w:pPr>
            <w:r>
              <w:t>11.897,26</w:t>
            </w:r>
          </w:p>
        </w:tc>
        <w:tc>
          <w:tcPr>
            <w:tcW w:w="990" w:type="pct"/>
            <w:vAlign w:val="center"/>
          </w:tcPr>
          <w:p w14:paraId="16B75F8F" w14:textId="77777777" w:rsidR="00E66105" w:rsidRDefault="00000000">
            <w:pPr>
              <w:keepNext/>
              <w:jc w:val="center"/>
            </w:pPr>
            <w:r>
              <w:t>98,8</w:t>
            </w:r>
          </w:p>
        </w:tc>
      </w:tr>
      <w:tr w:rsidR="00E66105" w14:paraId="1D1F93BD" w14:textId="77777777">
        <w:trPr>
          <w:trHeight w:val="542"/>
        </w:trPr>
        <w:tc>
          <w:tcPr>
            <w:tcW w:w="633" w:type="pct"/>
            <w:vAlign w:val="center"/>
          </w:tcPr>
          <w:p w14:paraId="20773069" w14:textId="77777777" w:rsidR="00E66105" w:rsidRDefault="00000000">
            <w:pPr>
              <w:keepNext/>
              <w:jc w:val="center"/>
            </w:pPr>
            <w:r>
              <w:t>19</w:t>
            </w:r>
          </w:p>
        </w:tc>
        <w:tc>
          <w:tcPr>
            <w:tcW w:w="1738" w:type="pct"/>
            <w:vAlign w:val="center"/>
          </w:tcPr>
          <w:p w14:paraId="1788DE46" w14:textId="77777777" w:rsidR="00E66105" w:rsidRDefault="00000000">
            <w:pPr>
              <w:keepNext/>
              <w:jc w:val="center"/>
            </w:pPr>
            <w:r>
              <w:t>Rashodi budućih razdoblja i nedospjela naplata prihoda </w:t>
            </w:r>
          </w:p>
        </w:tc>
        <w:tc>
          <w:tcPr>
            <w:tcW w:w="897" w:type="pct"/>
            <w:vAlign w:val="center"/>
          </w:tcPr>
          <w:p w14:paraId="78C3EAC2" w14:textId="77777777" w:rsidR="00E66105" w:rsidRDefault="00000000">
            <w:pPr>
              <w:keepNext/>
              <w:jc w:val="center"/>
            </w:pPr>
            <w:r>
              <w:t>0,00</w:t>
            </w:r>
          </w:p>
        </w:tc>
        <w:tc>
          <w:tcPr>
            <w:tcW w:w="740" w:type="pct"/>
            <w:vAlign w:val="center"/>
          </w:tcPr>
          <w:p w14:paraId="0F1211AF" w14:textId="77777777" w:rsidR="00E66105" w:rsidRDefault="00000000">
            <w:pPr>
              <w:keepNext/>
              <w:jc w:val="center"/>
            </w:pPr>
            <w:r>
              <w:t>0,00</w:t>
            </w:r>
          </w:p>
        </w:tc>
        <w:tc>
          <w:tcPr>
            <w:tcW w:w="990" w:type="pct"/>
            <w:vAlign w:val="center"/>
          </w:tcPr>
          <w:p w14:paraId="433D2E22" w14:textId="77777777" w:rsidR="00E66105" w:rsidRDefault="00000000">
            <w:pPr>
              <w:keepNext/>
              <w:jc w:val="center"/>
            </w:pPr>
            <w:r>
              <w:t>-</w:t>
            </w:r>
          </w:p>
        </w:tc>
      </w:tr>
    </w:tbl>
    <w:p w14:paraId="5F7374C7" w14:textId="77777777" w:rsidR="00E66105" w:rsidRDefault="00000000">
      <w:r>
        <w:t> </w:t>
      </w:r>
    </w:p>
    <w:p w14:paraId="6B53DC31" w14:textId="77777777" w:rsidR="00E66105" w:rsidRDefault="00E66105"/>
    <w:p w14:paraId="0B334535" w14:textId="77777777" w:rsidR="00E66105"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6CB37F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F2AA0A"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722CC8"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2CC4C1"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85009E"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75ABCD"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4CC1CD" w14:textId="77777777" w:rsidR="00E66105" w:rsidRDefault="00000000">
            <w:pPr>
              <w:keepNext/>
              <w:keepLines/>
              <w:spacing w:after="0" w:line="240" w:lineRule="auto"/>
              <w:jc w:val="center"/>
            </w:pPr>
            <w:r>
              <w:rPr>
                <w:b/>
                <w:sz w:val="18"/>
              </w:rPr>
              <w:t>Indeks (%)</w:t>
            </w:r>
          </w:p>
        </w:tc>
      </w:tr>
      <w:tr w:rsidR="00E66105" w14:paraId="05ED862B" w14:textId="77777777">
        <w:tblPrEx>
          <w:tblCellMar>
            <w:top w:w="0" w:type="dxa"/>
            <w:bottom w:w="0" w:type="dxa"/>
          </w:tblCellMar>
        </w:tblPrEx>
        <w:trPr>
          <w:cantSplit/>
          <w:trHeight w:val="560"/>
        </w:trPr>
        <w:tc>
          <w:tcPr>
            <w:tcW w:w="700" w:type="dxa"/>
            <w:tcMar>
              <w:top w:w="0" w:type="dxa"/>
              <w:bottom w:w="0" w:type="dxa"/>
            </w:tcMar>
            <w:vAlign w:val="center"/>
          </w:tcPr>
          <w:p w14:paraId="3D26D4A2" w14:textId="77777777" w:rsidR="00E66105" w:rsidRDefault="00000000">
            <w:pPr>
              <w:keepNext/>
              <w:keepLines/>
              <w:spacing w:after="0" w:line="240" w:lineRule="auto"/>
            </w:pPr>
            <w:r>
              <w:rPr>
                <w:sz w:val="18"/>
              </w:rPr>
              <w:t>11</w:t>
            </w:r>
          </w:p>
        </w:tc>
        <w:tc>
          <w:tcPr>
            <w:tcW w:w="3180" w:type="dxa"/>
            <w:tcMar>
              <w:top w:w="0" w:type="dxa"/>
              <w:bottom w:w="0" w:type="dxa"/>
            </w:tcMar>
            <w:vAlign w:val="center"/>
          </w:tcPr>
          <w:p w14:paraId="15B81ED9" w14:textId="77777777" w:rsidR="00E66105"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5384360F" w14:textId="77777777" w:rsidR="00E66105" w:rsidRDefault="00000000">
            <w:pPr>
              <w:keepNext/>
              <w:keepLines/>
              <w:spacing w:after="0" w:line="240" w:lineRule="auto"/>
            </w:pPr>
            <w:r>
              <w:rPr>
                <w:sz w:val="18"/>
              </w:rPr>
              <w:t>11</w:t>
            </w:r>
          </w:p>
        </w:tc>
        <w:tc>
          <w:tcPr>
            <w:tcW w:w="1860" w:type="dxa"/>
            <w:tcMar>
              <w:top w:w="0" w:type="dxa"/>
              <w:bottom w:w="0" w:type="dxa"/>
            </w:tcMar>
            <w:vAlign w:val="center"/>
          </w:tcPr>
          <w:p w14:paraId="121AC561" w14:textId="77777777" w:rsidR="00E66105" w:rsidRDefault="00000000">
            <w:pPr>
              <w:keepNext/>
              <w:keepLines/>
              <w:spacing w:after="0" w:line="240" w:lineRule="auto"/>
              <w:jc w:val="right"/>
            </w:pPr>
            <w:r>
              <w:rPr>
                <w:sz w:val="18"/>
              </w:rPr>
              <w:t>32.800,59</w:t>
            </w:r>
          </w:p>
        </w:tc>
        <w:tc>
          <w:tcPr>
            <w:tcW w:w="1860" w:type="dxa"/>
            <w:tcMar>
              <w:top w:w="0" w:type="dxa"/>
              <w:bottom w:w="0" w:type="dxa"/>
            </w:tcMar>
            <w:vAlign w:val="center"/>
          </w:tcPr>
          <w:p w14:paraId="2812CB3E" w14:textId="77777777" w:rsidR="00E66105" w:rsidRDefault="00000000">
            <w:pPr>
              <w:keepNext/>
              <w:keepLines/>
              <w:spacing w:after="0" w:line="240" w:lineRule="auto"/>
              <w:jc w:val="right"/>
            </w:pPr>
            <w:r>
              <w:rPr>
                <w:sz w:val="18"/>
              </w:rPr>
              <w:t>58.938,44</w:t>
            </w:r>
          </w:p>
        </w:tc>
        <w:tc>
          <w:tcPr>
            <w:tcW w:w="700" w:type="dxa"/>
            <w:tcMar>
              <w:top w:w="0" w:type="dxa"/>
              <w:bottom w:w="0" w:type="dxa"/>
            </w:tcMar>
            <w:vAlign w:val="center"/>
          </w:tcPr>
          <w:p w14:paraId="740BDB6B" w14:textId="77777777" w:rsidR="00E66105" w:rsidRDefault="00000000">
            <w:pPr>
              <w:keepNext/>
              <w:keepLines/>
              <w:spacing w:after="0" w:line="240" w:lineRule="auto"/>
              <w:jc w:val="right"/>
            </w:pPr>
            <w:r>
              <w:rPr>
                <w:sz w:val="18"/>
              </w:rPr>
              <w:t>179,7</w:t>
            </w:r>
          </w:p>
        </w:tc>
      </w:tr>
    </w:tbl>
    <w:p w14:paraId="0440E17D" w14:textId="77777777" w:rsidR="00E66105" w:rsidRDefault="00E66105">
      <w:pPr>
        <w:spacing w:after="0"/>
      </w:pPr>
    </w:p>
    <w:p w14:paraId="48171EEC" w14:textId="77777777" w:rsidR="00E66105" w:rsidRDefault="00000000">
      <w:r>
        <w:t>Novac u banci i blagajni (šifra 11) – novčana sredstava na računu u OTP banci u odnosu na 1. siječnja 2025. godine uvećana su za 79,7% i iznose 58.938,44 EUR jer je nadležni proračun koncem prosinca 2025. doznačio sredstva na račun Dječjeg vrtića za plaću za prosinac 2025.</w:t>
      </w:r>
    </w:p>
    <w:p w14:paraId="3A0A2B83" w14:textId="77777777" w:rsidR="00E66105" w:rsidRDefault="00E66105"/>
    <w:p w14:paraId="33340A05" w14:textId="77777777" w:rsidR="00E66105"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4D370B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713BF4"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15ED31"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39137F"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ADA670"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D6CC1C"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613B92" w14:textId="77777777" w:rsidR="00E66105" w:rsidRDefault="00000000">
            <w:pPr>
              <w:keepNext/>
              <w:keepLines/>
              <w:spacing w:after="0" w:line="240" w:lineRule="auto"/>
              <w:jc w:val="center"/>
            </w:pPr>
            <w:r>
              <w:rPr>
                <w:b/>
                <w:sz w:val="18"/>
              </w:rPr>
              <w:t>Indeks (%)</w:t>
            </w:r>
          </w:p>
        </w:tc>
      </w:tr>
      <w:tr w:rsidR="00E66105" w14:paraId="61AE7F5C" w14:textId="77777777">
        <w:tblPrEx>
          <w:tblCellMar>
            <w:top w:w="0" w:type="dxa"/>
            <w:bottom w:w="0" w:type="dxa"/>
          </w:tblCellMar>
        </w:tblPrEx>
        <w:trPr>
          <w:cantSplit/>
          <w:trHeight w:val="560"/>
        </w:trPr>
        <w:tc>
          <w:tcPr>
            <w:tcW w:w="700" w:type="dxa"/>
            <w:tcMar>
              <w:top w:w="0" w:type="dxa"/>
              <w:bottom w:w="0" w:type="dxa"/>
            </w:tcMar>
            <w:vAlign w:val="center"/>
          </w:tcPr>
          <w:p w14:paraId="53AE23B1" w14:textId="77777777" w:rsidR="00E66105" w:rsidRDefault="00000000">
            <w:pPr>
              <w:keepNext/>
              <w:keepLines/>
              <w:spacing w:after="0" w:line="240" w:lineRule="auto"/>
            </w:pPr>
            <w:r>
              <w:rPr>
                <w:sz w:val="18"/>
              </w:rPr>
              <w:t>12</w:t>
            </w:r>
          </w:p>
        </w:tc>
        <w:tc>
          <w:tcPr>
            <w:tcW w:w="3180" w:type="dxa"/>
            <w:tcMar>
              <w:top w:w="0" w:type="dxa"/>
              <w:bottom w:w="0" w:type="dxa"/>
            </w:tcMar>
            <w:vAlign w:val="center"/>
          </w:tcPr>
          <w:p w14:paraId="5A9C2094" w14:textId="77777777" w:rsidR="00E66105" w:rsidRDefault="00000000">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329AC175" w14:textId="77777777" w:rsidR="00E66105" w:rsidRDefault="00000000">
            <w:pPr>
              <w:keepNext/>
              <w:keepLines/>
              <w:spacing w:after="0" w:line="240" w:lineRule="auto"/>
            </w:pPr>
            <w:r>
              <w:rPr>
                <w:sz w:val="18"/>
              </w:rPr>
              <w:t>12</w:t>
            </w:r>
          </w:p>
        </w:tc>
        <w:tc>
          <w:tcPr>
            <w:tcW w:w="1860" w:type="dxa"/>
            <w:tcMar>
              <w:top w:w="0" w:type="dxa"/>
              <w:bottom w:w="0" w:type="dxa"/>
            </w:tcMar>
            <w:vAlign w:val="center"/>
          </w:tcPr>
          <w:p w14:paraId="75FC6A5C" w14:textId="77777777" w:rsidR="00E66105" w:rsidRDefault="00000000">
            <w:pPr>
              <w:keepNext/>
              <w:keepLines/>
              <w:spacing w:after="0" w:line="240" w:lineRule="auto"/>
              <w:jc w:val="right"/>
            </w:pPr>
            <w:r>
              <w:rPr>
                <w:sz w:val="18"/>
              </w:rPr>
              <w:t>1.058,97</w:t>
            </w:r>
          </w:p>
        </w:tc>
        <w:tc>
          <w:tcPr>
            <w:tcW w:w="1860" w:type="dxa"/>
            <w:tcMar>
              <w:top w:w="0" w:type="dxa"/>
              <w:bottom w:w="0" w:type="dxa"/>
            </w:tcMar>
            <w:vAlign w:val="center"/>
          </w:tcPr>
          <w:p w14:paraId="6F8948D9" w14:textId="77777777" w:rsidR="00E66105" w:rsidRDefault="00000000">
            <w:pPr>
              <w:keepNext/>
              <w:keepLines/>
              <w:spacing w:after="0" w:line="240" w:lineRule="auto"/>
              <w:jc w:val="right"/>
            </w:pPr>
            <w:r>
              <w:rPr>
                <w:sz w:val="18"/>
              </w:rPr>
              <w:t>351,87</w:t>
            </w:r>
          </w:p>
        </w:tc>
        <w:tc>
          <w:tcPr>
            <w:tcW w:w="700" w:type="dxa"/>
            <w:tcMar>
              <w:top w:w="0" w:type="dxa"/>
              <w:bottom w:w="0" w:type="dxa"/>
            </w:tcMar>
            <w:vAlign w:val="center"/>
          </w:tcPr>
          <w:p w14:paraId="00BCAFBC" w14:textId="77777777" w:rsidR="00E66105" w:rsidRDefault="00000000">
            <w:pPr>
              <w:keepNext/>
              <w:keepLines/>
              <w:spacing w:after="0" w:line="240" w:lineRule="auto"/>
              <w:jc w:val="right"/>
            </w:pPr>
            <w:r>
              <w:rPr>
                <w:sz w:val="18"/>
              </w:rPr>
              <w:t>33,2</w:t>
            </w:r>
          </w:p>
        </w:tc>
      </w:tr>
    </w:tbl>
    <w:p w14:paraId="7E58D1DF" w14:textId="77777777" w:rsidR="00E66105" w:rsidRDefault="00E66105">
      <w:pPr>
        <w:spacing w:after="0"/>
      </w:pPr>
    </w:p>
    <w:p w14:paraId="3078616E" w14:textId="77777777" w:rsidR="00E66105" w:rsidRDefault="00000000">
      <w:r>
        <w:t>Depoziti, jamčevni polozi i potraživanja od zaposlenih te za više plaćene poreze i ostalo (šifra 12) – početno stanje smanjeno je za 66,8 % i sada iznosi 351,87 EUR.  Navedeno se odnosi na potraživanja za naknade koje se refundiraju (HZZO) i potraživanja za više plaćene poreze i doprinose.</w:t>
      </w:r>
    </w:p>
    <w:p w14:paraId="153E97E6" w14:textId="77777777" w:rsidR="00E66105" w:rsidRDefault="00E66105"/>
    <w:p w14:paraId="1D560B5A" w14:textId="77777777" w:rsidR="00E66105"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6B3419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FE4966"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528F65"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3D827"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982E6E"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39F8C4"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0969FF" w14:textId="77777777" w:rsidR="00E66105" w:rsidRDefault="00000000">
            <w:pPr>
              <w:keepNext/>
              <w:keepLines/>
              <w:spacing w:after="0" w:line="240" w:lineRule="auto"/>
              <w:jc w:val="center"/>
            </w:pPr>
            <w:r>
              <w:rPr>
                <w:b/>
                <w:sz w:val="18"/>
              </w:rPr>
              <w:t>Indeks (%)</w:t>
            </w:r>
          </w:p>
        </w:tc>
      </w:tr>
      <w:tr w:rsidR="00E66105" w14:paraId="06BE74D6" w14:textId="77777777">
        <w:tblPrEx>
          <w:tblCellMar>
            <w:top w:w="0" w:type="dxa"/>
            <w:bottom w:w="0" w:type="dxa"/>
          </w:tblCellMar>
        </w:tblPrEx>
        <w:trPr>
          <w:cantSplit/>
          <w:trHeight w:val="560"/>
        </w:trPr>
        <w:tc>
          <w:tcPr>
            <w:tcW w:w="700" w:type="dxa"/>
            <w:tcMar>
              <w:top w:w="0" w:type="dxa"/>
              <w:bottom w:w="0" w:type="dxa"/>
            </w:tcMar>
            <w:vAlign w:val="center"/>
          </w:tcPr>
          <w:p w14:paraId="48C70B1A" w14:textId="77777777" w:rsidR="00E66105" w:rsidRDefault="00000000">
            <w:pPr>
              <w:keepNext/>
              <w:keepLines/>
              <w:spacing w:after="0" w:line="240" w:lineRule="auto"/>
            </w:pPr>
            <w:r>
              <w:rPr>
                <w:sz w:val="18"/>
              </w:rPr>
              <w:t>16</w:t>
            </w:r>
          </w:p>
        </w:tc>
        <w:tc>
          <w:tcPr>
            <w:tcW w:w="3180" w:type="dxa"/>
            <w:tcMar>
              <w:top w:w="0" w:type="dxa"/>
              <w:bottom w:w="0" w:type="dxa"/>
            </w:tcMar>
            <w:vAlign w:val="center"/>
          </w:tcPr>
          <w:p w14:paraId="1701BC7D" w14:textId="77777777" w:rsidR="00E66105"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8A8CB4C" w14:textId="77777777" w:rsidR="00E66105" w:rsidRDefault="00000000">
            <w:pPr>
              <w:keepNext/>
              <w:keepLines/>
              <w:spacing w:after="0" w:line="240" w:lineRule="auto"/>
            </w:pPr>
            <w:r>
              <w:rPr>
                <w:sz w:val="18"/>
              </w:rPr>
              <w:t>16</w:t>
            </w:r>
          </w:p>
        </w:tc>
        <w:tc>
          <w:tcPr>
            <w:tcW w:w="1860" w:type="dxa"/>
            <w:tcMar>
              <w:top w:w="0" w:type="dxa"/>
              <w:bottom w:w="0" w:type="dxa"/>
            </w:tcMar>
            <w:vAlign w:val="center"/>
          </w:tcPr>
          <w:p w14:paraId="3E8BEBD1" w14:textId="77777777" w:rsidR="00E66105" w:rsidRDefault="00000000">
            <w:pPr>
              <w:keepNext/>
              <w:keepLines/>
              <w:spacing w:after="0" w:line="240" w:lineRule="auto"/>
              <w:jc w:val="right"/>
            </w:pPr>
            <w:r>
              <w:rPr>
                <w:sz w:val="18"/>
              </w:rPr>
              <w:t>12.039,61</w:t>
            </w:r>
          </w:p>
        </w:tc>
        <w:tc>
          <w:tcPr>
            <w:tcW w:w="1860" w:type="dxa"/>
            <w:tcMar>
              <w:top w:w="0" w:type="dxa"/>
              <w:bottom w:w="0" w:type="dxa"/>
            </w:tcMar>
            <w:vAlign w:val="center"/>
          </w:tcPr>
          <w:p w14:paraId="18E2762A" w14:textId="77777777" w:rsidR="00E66105" w:rsidRDefault="00000000">
            <w:pPr>
              <w:keepNext/>
              <w:keepLines/>
              <w:spacing w:after="0" w:line="240" w:lineRule="auto"/>
              <w:jc w:val="right"/>
            </w:pPr>
            <w:r>
              <w:rPr>
                <w:sz w:val="18"/>
              </w:rPr>
              <w:t>11.897,26</w:t>
            </w:r>
          </w:p>
        </w:tc>
        <w:tc>
          <w:tcPr>
            <w:tcW w:w="700" w:type="dxa"/>
            <w:tcMar>
              <w:top w:w="0" w:type="dxa"/>
              <w:bottom w:w="0" w:type="dxa"/>
            </w:tcMar>
            <w:vAlign w:val="center"/>
          </w:tcPr>
          <w:p w14:paraId="42DBD671" w14:textId="77777777" w:rsidR="00E66105" w:rsidRDefault="00000000">
            <w:pPr>
              <w:keepNext/>
              <w:keepLines/>
              <w:spacing w:after="0" w:line="240" w:lineRule="auto"/>
              <w:jc w:val="right"/>
            </w:pPr>
            <w:r>
              <w:rPr>
                <w:sz w:val="18"/>
              </w:rPr>
              <w:t>98,8</w:t>
            </w:r>
          </w:p>
        </w:tc>
      </w:tr>
    </w:tbl>
    <w:p w14:paraId="5394E9AB" w14:textId="77777777" w:rsidR="00E66105" w:rsidRDefault="00E66105">
      <w:pPr>
        <w:spacing w:after="0"/>
      </w:pPr>
    </w:p>
    <w:p w14:paraId="12D51A3E" w14:textId="77777777" w:rsidR="00E66105" w:rsidRDefault="00000000">
      <w:r>
        <w:t>Potraživanja za prihode poslovanja (šifra 16) – stanje ukupnih potraživanja za prihode poslovanja na 31. prosinca 2025. iznosi 11.897,26 EUR. Potraživanja za prihode poslovanja uključuju potraživanja za upravne i administrativne pristojbe, pristojbe po posebnim propisima i naknade (potraživanja od roditelja). Navedena potraživanja se odnose za uslugu boravka u Dječjem vrtiću. Dospjela potraživanja iznose 2.685,26 EUR, a nedospjela iznose 9.212,00 EUR.</w:t>
      </w:r>
    </w:p>
    <w:p w14:paraId="145C7D31" w14:textId="77777777" w:rsidR="00E66105" w:rsidRDefault="00E66105"/>
    <w:p w14:paraId="3B3B6AE9" w14:textId="77777777" w:rsidR="00E66105"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471AE4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8149A1"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F28F4A"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6FCFA3"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7DA489"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1E1395"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E1FFB1" w14:textId="77777777" w:rsidR="00E66105" w:rsidRDefault="00000000">
            <w:pPr>
              <w:keepNext/>
              <w:keepLines/>
              <w:spacing w:after="0" w:line="240" w:lineRule="auto"/>
              <w:jc w:val="center"/>
            </w:pPr>
            <w:r>
              <w:rPr>
                <w:b/>
                <w:sz w:val="18"/>
              </w:rPr>
              <w:t>Indeks (%)</w:t>
            </w:r>
          </w:p>
        </w:tc>
      </w:tr>
      <w:tr w:rsidR="00E66105" w14:paraId="72609602" w14:textId="77777777">
        <w:tblPrEx>
          <w:tblCellMar>
            <w:top w:w="0" w:type="dxa"/>
            <w:bottom w:w="0" w:type="dxa"/>
          </w:tblCellMar>
        </w:tblPrEx>
        <w:trPr>
          <w:cantSplit/>
          <w:trHeight w:val="560"/>
        </w:trPr>
        <w:tc>
          <w:tcPr>
            <w:tcW w:w="700" w:type="dxa"/>
            <w:tcMar>
              <w:top w:w="0" w:type="dxa"/>
              <w:bottom w:w="0" w:type="dxa"/>
            </w:tcMar>
            <w:vAlign w:val="center"/>
          </w:tcPr>
          <w:p w14:paraId="6DBCA2A4" w14:textId="77777777" w:rsidR="00E66105" w:rsidRDefault="00000000">
            <w:pPr>
              <w:keepNext/>
              <w:keepLines/>
              <w:spacing w:after="0" w:line="240" w:lineRule="auto"/>
            </w:pPr>
            <w:r>
              <w:rPr>
                <w:sz w:val="18"/>
              </w:rPr>
              <w:t>2</w:t>
            </w:r>
          </w:p>
        </w:tc>
        <w:tc>
          <w:tcPr>
            <w:tcW w:w="3180" w:type="dxa"/>
            <w:tcMar>
              <w:top w:w="0" w:type="dxa"/>
              <w:bottom w:w="0" w:type="dxa"/>
            </w:tcMar>
            <w:vAlign w:val="center"/>
          </w:tcPr>
          <w:p w14:paraId="78B86ADB" w14:textId="77777777" w:rsidR="00E66105"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5E8485F" w14:textId="77777777" w:rsidR="00E66105" w:rsidRDefault="00000000">
            <w:pPr>
              <w:keepNext/>
              <w:keepLines/>
              <w:spacing w:after="0" w:line="240" w:lineRule="auto"/>
            </w:pPr>
            <w:r>
              <w:rPr>
                <w:sz w:val="18"/>
              </w:rPr>
              <w:t>2</w:t>
            </w:r>
          </w:p>
        </w:tc>
        <w:tc>
          <w:tcPr>
            <w:tcW w:w="1860" w:type="dxa"/>
            <w:tcMar>
              <w:top w:w="0" w:type="dxa"/>
              <w:bottom w:w="0" w:type="dxa"/>
            </w:tcMar>
            <w:vAlign w:val="center"/>
          </w:tcPr>
          <w:p w14:paraId="4B2D453E" w14:textId="77777777" w:rsidR="00E66105" w:rsidRDefault="00000000">
            <w:pPr>
              <w:keepNext/>
              <w:keepLines/>
              <w:spacing w:after="0" w:line="240" w:lineRule="auto"/>
              <w:jc w:val="right"/>
            </w:pPr>
            <w:r>
              <w:rPr>
                <w:sz w:val="18"/>
              </w:rPr>
              <w:t>44.250,45</w:t>
            </w:r>
          </w:p>
        </w:tc>
        <w:tc>
          <w:tcPr>
            <w:tcW w:w="1860" w:type="dxa"/>
            <w:tcMar>
              <w:top w:w="0" w:type="dxa"/>
              <w:bottom w:w="0" w:type="dxa"/>
            </w:tcMar>
            <w:vAlign w:val="center"/>
          </w:tcPr>
          <w:p w14:paraId="22C64879" w14:textId="77777777" w:rsidR="00E66105" w:rsidRDefault="00000000">
            <w:pPr>
              <w:keepNext/>
              <w:keepLines/>
              <w:spacing w:after="0" w:line="240" w:lineRule="auto"/>
              <w:jc w:val="right"/>
            </w:pPr>
            <w:r>
              <w:rPr>
                <w:sz w:val="18"/>
              </w:rPr>
              <w:t>60.634,84</w:t>
            </w:r>
          </w:p>
        </w:tc>
        <w:tc>
          <w:tcPr>
            <w:tcW w:w="700" w:type="dxa"/>
            <w:tcMar>
              <w:top w:w="0" w:type="dxa"/>
              <w:bottom w:w="0" w:type="dxa"/>
            </w:tcMar>
            <w:vAlign w:val="center"/>
          </w:tcPr>
          <w:p w14:paraId="2BD7017B" w14:textId="77777777" w:rsidR="00E66105" w:rsidRDefault="00000000">
            <w:pPr>
              <w:keepNext/>
              <w:keepLines/>
              <w:spacing w:after="0" w:line="240" w:lineRule="auto"/>
              <w:jc w:val="right"/>
            </w:pPr>
            <w:r>
              <w:rPr>
                <w:sz w:val="18"/>
              </w:rPr>
              <w:t>137,0</w:t>
            </w:r>
          </w:p>
        </w:tc>
      </w:tr>
    </w:tbl>
    <w:p w14:paraId="7E67D21E" w14:textId="77777777" w:rsidR="00E66105" w:rsidRDefault="00E66105">
      <w:pPr>
        <w:spacing w:after="0"/>
      </w:pPr>
    </w:p>
    <w:p w14:paraId="6FF4D1CA" w14:textId="77777777" w:rsidR="00E66105" w:rsidRDefault="00000000">
      <w:r>
        <w:t>Obveze bilježe ukupno povećanje za 37,0 % u odnosu na prethodnu godinu i iznose 60.634,84 EUR (šifra 2).</w:t>
      </w:r>
    </w:p>
    <w:p w14:paraId="1E212D31" w14:textId="77777777" w:rsidR="00E66105" w:rsidRDefault="00000000">
      <w:r>
        <w:t>U sljedećoj tablici prikazana je struktura obveza.</w:t>
      </w:r>
    </w:p>
    <w:tbl>
      <w:tblPr>
        <w:tblStyle w:val="Reetkatablice"/>
        <w:tblW w:w="4440" w:type="pct"/>
        <w:tblLook w:val="04A0" w:firstRow="1" w:lastRow="0" w:firstColumn="1" w:lastColumn="0" w:noHBand="0" w:noVBand="1"/>
      </w:tblPr>
      <w:tblGrid>
        <w:gridCol w:w="830"/>
        <w:gridCol w:w="3215"/>
        <w:gridCol w:w="1176"/>
        <w:gridCol w:w="1176"/>
        <w:gridCol w:w="1650"/>
      </w:tblGrid>
      <w:tr w:rsidR="00E66105" w14:paraId="1741B116" w14:textId="77777777">
        <w:trPr>
          <w:trHeight w:val="542"/>
        </w:trPr>
        <w:tc>
          <w:tcPr>
            <w:tcW w:w="540" w:type="pct"/>
            <w:vAlign w:val="center"/>
          </w:tcPr>
          <w:p w14:paraId="79CF7F8C" w14:textId="77777777" w:rsidR="00E66105" w:rsidRDefault="00000000">
            <w:pPr>
              <w:keepNext/>
              <w:jc w:val="center"/>
            </w:pPr>
            <w:r>
              <w:t>Račun iz Rač. plana</w:t>
            </w:r>
          </w:p>
        </w:tc>
        <w:tc>
          <w:tcPr>
            <w:tcW w:w="1320" w:type="pct"/>
            <w:vAlign w:val="center"/>
          </w:tcPr>
          <w:p w14:paraId="285D1A64" w14:textId="77777777" w:rsidR="00E66105" w:rsidRDefault="00000000">
            <w:pPr>
              <w:keepNext/>
              <w:jc w:val="center"/>
            </w:pPr>
            <w:r>
              <w:t>Opis stavke</w:t>
            </w:r>
          </w:p>
        </w:tc>
        <w:tc>
          <w:tcPr>
            <w:tcW w:w="789" w:type="pct"/>
            <w:vAlign w:val="center"/>
          </w:tcPr>
          <w:p w14:paraId="16CA43F9" w14:textId="77777777" w:rsidR="00E66105" w:rsidRDefault="00000000">
            <w:pPr>
              <w:keepNext/>
              <w:jc w:val="center"/>
            </w:pPr>
            <w:r>
              <w:t>2024.</w:t>
            </w:r>
          </w:p>
        </w:tc>
        <w:tc>
          <w:tcPr>
            <w:tcW w:w="956" w:type="pct"/>
            <w:vAlign w:val="center"/>
          </w:tcPr>
          <w:p w14:paraId="689E7288" w14:textId="77777777" w:rsidR="00E66105" w:rsidRDefault="00000000">
            <w:pPr>
              <w:keepNext/>
              <w:jc w:val="center"/>
            </w:pPr>
            <w:r>
              <w:t>2025.</w:t>
            </w:r>
          </w:p>
        </w:tc>
        <w:tc>
          <w:tcPr>
            <w:tcW w:w="1392" w:type="pct"/>
            <w:vAlign w:val="center"/>
          </w:tcPr>
          <w:p w14:paraId="219CCBC3" w14:textId="77777777" w:rsidR="00E66105" w:rsidRDefault="00000000">
            <w:pPr>
              <w:keepNext/>
              <w:jc w:val="center"/>
            </w:pPr>
            <w:r>
              <w:t>Indeks</w:t>
            </w:r>
          </w:p>
        </w:tc>
      </w:tr>
      <w:tr w:rsidR="00E66105" w14:paraId="5EC15F0C" w14:textId="77777777">
        <w:tc>
          <w:tcPr>
            <w:tcW w:w="540" w:type="pct"/>
            <w:vAlign w:val="center"/>
          </w:tcPr>
          <w:p w14:paraId="4E336A24" w14:textId="77777777" w:rsidR="00E66105" w:rsidRDefault="00000000">
            <w:pPr>
              <w:keepNext/>
              <w:jc w:val="center"/>
            </w:pPr>
            <w:r>
              <w:t>2</w:t>
            </w:r>
          </w:p>
        </w:tc>
        <w:tc>
          <w:tcPr>
            <w:tcW w:w="1320" w:type="pct"/>
            <w:vAlign w:val="center"/>
          </w:tcPr>
          <w:p w14:paraId="257BB60E" w14:textId="77777777" w:rsidR="00E66105" w:rsidRDefault="00000000">
            <w:pPr>
              <w:keepNext/>
              <w:jc w:val="center"/>
            </w:pPr>
            <w:r>
              <w:t>Obveze</w:t>
            </w:r>
          </w:p>
        </w:tc>
        <w:tc>
          <w:tcPr>
            <w:tcW w:w="789" w:type="pct"/>
            <w:vAlign w:val="center"/>
          </w:tcPr>
          <w:p w14:paraId="1603FBCC" w14:textId="77777777" w:rsidR="00E66105" w:rsidRDefault="00000000">
            <w:pPr>
              <w:keepNext/>
              <w:jc w:val="center"/>
            </w:pPr>
            <w:r>
              <w:t>44.250,45</w:t>
            </w:r>
          </w:p>
        </w:tc>
        <w:tc>
          <w:tcPr>
            <w:tcW w:w="956" w:type="pct"/>
            <w:vAlign w:val="center"/>
          </w:tcPr>
          <w:p w14:paraId="31DF8A3E" w14:textId="77777777" w:rsidR="00E66105" w:rsidRDefault="00000000">
            <w:pPr>
              <w:keepNext/>
              <w:jc w:val="center"/>
            </w:pPr>
            <w:r>
              <w:t>60.634,84</w:t>
            </w:r>
          </w:p>
        </w:tc>
        <w:tc>
          <w:tcPr>
            <w:tcW w:w="1392" w:type="pct"/>
            <w:vAlign w:val="center"/>
          </w:tcPr>
          <w:p w14:paraId="67C72AC9" w14:textId="77777777" w:rsidR="00E66105" w:rsidRDefault="00000000">
            <w:pPr>
              <w:keepNext/>
              <w:jc w:val="center"/>
            </w:pPr>
            <w:r>
              <w:t>137,0</w:t>
            </w:r>
          </w:p>
        </w:tc>
      </w:tr>
      <w:tr w:rsidR="00E66105" w14:paraId="08F71256" w14:textId="77777777">
        <w:trPr>
          <w:trHeight w:val="542"/>
        </w:trPr>
        <w:tc>
          <w:tcPr>
            <w:tcW w:w="540" w:type="pct"/>
            <w:vAlign w:val="center"/>
          </w:tcPr>
          <w:p w14:paraId="3B683D21" w14:textId="77777777" w:rsidR="00E66105" w:rsidRDefault="00000000">
            <w:pPr>
              <w:keepNext/>
              <w:jc w:val="center"/>
            </w:pPr>
            <w:r>
              <w:t>23</w:t>
            </w:r>
          </w:p>
        </w:tc>
        <w:tc>
          <w:tcPr>
            <w:tcW w:w="1320" w:type="pct"/>
            <w:vAlign w:val="center"/>
          </w:tcPr>
          <w:p w14:paraId="28FDF8CD" w14:textId="77777777" w:rsidR="00E66105" w:rsidRDefault="00000000">
            <w:pPr>
              <w:keepNext/>
              <w:jc w:val="center"/>
            </w:pPr>
            <w:r>
              <w:t>Obveze za rashode poslovanja</w:t>
            </w:r>
          </w:p>
        </w:tc>
        <w:tc>
          <w:tcPr>
            <w:tcW w:w="789" w:type="pct"/>
            <w:vAlign w:val="center"/>
          </w:tcPr>
          <w:p w14:paraId="323E93D6" w14:textId="77777777" w:rsidR="00E66105" w:rsidRDefault="00000000">
            <w:pPr>
              <w:keepNext/>
              <w:jc w:val="center"/>
            </w:pPr>
            <w:r>
              <w:t>44.250,45</w:t>
            </w:r>
          </w:p>
        </w:tc>
        <w:tc>
          <w:tcPr>
            <w:tcW w:w="956" w:type="pct"/>
            <w:vAlign w:val="center"/>
          </w:tcPr>
          <w:p w14:paraId="25BA3789" w14:textId="77777777" w:rsidR="00E66105" w:rsidRDefault="00000000">
            <w:pPr>
              <w:keepNext/>
              <w:jc w:val="center"/>
            </w:pPr>
            <w:r>
              <w:t>47.463,86</w:t>
            </w:r>
          </w:p>
        </w:tc>
        <w:tc>
          <w:tcPr>
            <w:tcW w:w="1392" w:type="pct"/>
            <w:vAlign w:val="center"/>
          </w:tcPr>
          <w:p w14:paraId="73F13E7C" w14:textId="77777777" w:rsidR="00E66105" w:rsidRDefault="00000000">
            <w:pPr>
              <w:keepNext/>
              <w:jc w:val="center"/>
            </w:pPr>
            <w:r>
              <w:t>107,3</w:t>
            </w:r>
          </w:p>
        </w:tc>
      </w:tr>
      <w:tr w:rsidR="00E66105" w14:paraId="43B35F1E" w14:textId="77777777">
        <w:trPr>
          <w:trHeight w:val="542"/>
        </w:trPr>
        <w:tc>
          <w:tcPr>
            <w:tcW w:w="540" w:type="pct"/>
            <w:vAlign w:val="center"/>
          </w:tcPr>
          <w:p w14:paraId="09872751" w14:textId="77777777" w:rsidR="00E66105" w:rsidRDefault="00000000">
            <w:pPr>
              <w:keepNext/>
              <w:jc w:val="center"/>
            </w:pPr>
            <w:r>
              <w:t>231</w:t>
            </w:r>
          </w:p>
        </w:tc>
        <w:tc>
          <w:tcPr>
            <w:tcW w:w="1320" w:type="pct"/>
            <w:vAlign w:val="center"/>
          </w:tcPr>
          <w:p w14:paraId="20FBF923" w14:textId="77777777" w:rsidR="00E66105" w:rsidRDefault="00000000">
            <w:pPr>
              <w:keepNext/>
              <w:jc w:val="center"/>
            </w:pPr>
            <w:r>
              <w:t>Obveze za zaposlene</w:t>
            </w:r>
          </w:p>
        </w:tc>
        <w:tc>
          <w:tcPr>
            <w:tcW w:w="789" w:type="pct"/>
            <w:vAlign w:val="center"/>
          </w:tcPr>
          <w:p w14:paraId="7D917BB8" w14:textId="77777777" w:rsidR="00E66105" w:rsidRDefault="00000000">
            <w:pPr>
              <w:keepNext/>
              <w:jc w:val="center"/>
            </w:pPr>
            <w:r>
              <w:t>26.474,52</w:t>
            </w:r>
          </w:p>
        </w:tc>
        <w:tc>
          <w:tcPr>
            <w:tcW w:w="956" w:type="pct"/>
            <w:vAlign w:val="center"/>
          </w:tcPr>
          <w:p w14:paraId="51443109" w14:textId="77777777" w:rsidR="00E66105" w:rsidRDefault="00000000">
            <w:pPr>
              <w:keepNext/>
              <w:jc w:val="center"/>
            </w:pPr>
            <w:r>
              <w:t>39.378,92</w:t>
            </w:r>
          </w:p>
        </w:tc>
        <w:tc>
          <w:tcPr>
            <w:tcW w:w="1392" w:type="pct"/>
            <w:vAlign w:val="center"/>
          </w:tcPr>
          <w:p w14:paraId="401A1563" w14:textId="77777777" w:rsidR="00E66105" w:rsidRDefault="00000000">
            <w:pPr>
              <w:keepNext/>
              <w:jc w:val="center"/>
            </w:pPr>
            <w:r>
              <w:t>148,7</w:t>
            </w:r>
          </w:p>
        </w:tc>
      </w:tr>
      <w:tr w:rsidR="00E66105" w14:paraId="5FC7F3A0" w14:textId="77777777">
        <w:trPr>
          <w:trHeight w:val="542"/>
        </w:trPr>
        <w:tc>
          <w:tcPr>
            <w:tcW w:w="540" w:type="pct"/>
            <w:vAlign w:val="center"/>
          </w:tcPr>
          <w:p w14:paraId="5354C7CE" w14:textId="77777777" w:rsidR="00E66105" w:rsidRDefault="00000000">
            <w:pPr>
              <w:keepNext/>
              <w:jc w:val="center"/>
            </w:pPr>
            <w:r>
              <w:t>232</w:t>
            </w:r>
          </w:p>
        </w:tc>
        <w:tc>
          <w:tcPr>
            <w:tcW w:w="1320" w:type="pct"/>
            <w:vAlign w:val="center"/>
          </w:tcPr>
          <w:p w14:paraId="768215BB" w14:textId="77777777" w:rsidR="00E66105" w:rsidRDefault="00000000">
            <w:pPr>
              <w:keepNext/>
              <w:jc w:val="center"/>
            </w:pPr>
            <w:r>
              <w:t>Obveze za materijalne rashode</w:t>
            </w:r>
          </w:p>
        </w:tc>
        <w:tc>
          <w:tcPr>
            <w:tcW w:w="789" w:type="pct"/>
            <w:vAlign w:val="center"/>
          </w:tcPr>
          <w:p w14:paraId="77889659" w14:textId="77777777" w:rsidR="00E66105" w:rsidRDefault="00000000">
            <w:pPr>
              <w:keepNext/>
              <w:jc w:val="center"/>
            </w:pPr>
            <w:r>
              <w:t>7.466,23</w:t>
            </w:r>
          </w:p>
        </w:tc>
        <w:tc>
          <w:tcPr>
            <w:tcW w:w="956" w:type="pct"/>
            <w:vAlign w:val="center"/>
          </w:tcPr>
          <w:p w14:paraId="4DFCD86E" w14:textId="77777777" w:rsidR="00E66105" w:rsidRDefault="00000000">
            <w:pPr>
              <w:keepNext/>
              <w:jc w:val="center"/>
            </w:pPr>
            <w:r>
              <w:t>7.954,73</w:t>
            </w:r>
          </w:p>
        </w:tc>
        <w:tc>
          <w:tcPr>
            <w:tcW w:w="1392" w:type="pct"/>
            <w:vAlign w:val="center"/>
          </w:tcPr>
          <w:p w14:paraId="7807D6CA" w14:textId="77777777" w:rsidR="00E66105" w:rsidRDefault="00000000">
            <w:pPr>
              <w:keepNext/>
              <w:jc w:val="center"/>
            </w:pPr>
            <w:r>
              <w:t>106,5</w:t>
            </w:r>
          </w:p>
        </w:tc>
      </w:tr>
      <w:tr w:rsidR="00E66105" w14:paraId="16BBE6CF" w14:textId="77777777">
        <w:trPr>
          <w:trHeight w:val="542"/>
        </w:trPr>
        <w:tc>
          <w:tcPr>
            <w:tcW w:w="540" w:type="pct"/>
            <w:vAlign w:val="center"/>
          </w:tcPr>
          <w:p w14:paraId="14DA1EDD" w14:textId="77777777" w:rsidR="00E66105" w:rsidRDefault="00000000">
            <w:pPr>
              <w:keepNext/>
              <w:jc w:val="center"/>
            </w:pPr>
            <w:r>
              <w:t>234</w:t>
            </w:r>
          </w:p>
        </w:tc>
        <w:tc>
          <w:tcPr>
            <w:tcW w:w="1320" w:type="pct"/>
            <w:vAlign w:val="center"/>
          </w:tcPr>
          <w:p w14:paraId="0EDEC0AE" w14:textId="77777777" w:rsidR="00E66105" w:rsidRDefault="00000000">
            <w:pPr>
              <w:keepNext/>
              <w:jc w:val="center"/>
            </w:pPr>
            <w:r>
              <w:t>Obveze za financijske rashode</w:t>
            </w:r>
          </w:p>
        </w:tc>
        <w:tc>
          <w:tcPr>
            <w:tcW w:w="789" w:type="pct"/>
            <w:vAlign w:val="center"/>
          </w:tcPr>
          <w:p w14:paraId="12929620" w14:textId="77777777" w:rsidR="00E66105" w:rsidRDefault="00000000">
            <w:pPr>
              <w:keepNext/>
              <w:jc w:val="center"/>
            </w:pPr>
            <w:r>
              <w:t>106,75</w:t>
            </w:r>
          </w:p>
        </w:tc>
        <w:tc>
          <w:tcPr>
            <w:tcW w:w="956" w:type="pct"/>
            <w:vAlign w:val="center"/>
          </w:tcPr>
          <w:p w14:paraId="1C9604F8" w14:textId="77777777" w:rsidR="00E66105" w:rsidRDefault="00000000">
            <w:pPr>
              <w:keepNext/>
              <w:jc w:val="center"/>
            </w:pPr>
            <w:r>
              <w:t>130,21</w:t>
            </w:r>
          </w:p>
        </w:tc>
        <w:tc>
          <w:tcPr>
            <w:tcW w:w="1392" w:type="pct"/>
            <w:vAlign w:val="center"/>
          </w:tcPr>
          <w:p w14:paraId="4249728A" w14:textId="77777777" w:rsidR="00E66105" w:rsidRDefault="00000000">
            <w:pPr>
              <w:keepNext/>
              <w:jc w:val="center"/>
            </w:pPr>
            <w:r>
              <w:t>122,0</w:t>
            </w:r>
          </w:p>
        </w:tc>
      </w:tr>
      <w:tr w:rsidR="00E66105" w14:paraId="1811228D" w14:textId="77777777">
        <w:tc>
          <w:tcPr>
            <w:tcW w:w="540" w:type="pct"/>
            <w:vAlign w:val="center"/>
          </w:tcPr>
          <w:p w14:paraId="41926266" w14:textId="77777777" w:rsidR="00E66105" w:rsidRDefault="00000000">
            <w:pPr>
              <w:keepNext/>
              <w:jc w:val="center"/>
            </w:pPr>
            <w:r>
              <w:t>27</w:t>
            </w:r>
          </w:p>
        </w:tc>
        <w:tc>
          <w:tcPr>
            <w:tcW w:w="1320" w:type="pct"/>
            <w:vAlign w:val="center"/>
          </w:tcPr>
          <w:p w14:paraId="27D5BCAC" w14:textId="77777777" w:rsidR="00E66105" w:rsidRDefault="00000000">
            <w:pPr>
              <w:keepNext/>
              <w:jc w:val="center"/>
            </w:pPr>
            <w:r>
              <w:t>Obveze za predujmove,depozite,jamčevne pologe i tuđe prihode</w:t>
            </w:r>
          </w:p>
        </w:tc>
        <w:tc>
          <w:tcPr>
            <w:tcW w:w="789" w:type="pct"/>
            <w:vAlign w:val="center"/>
          </w:tcPr>
          <w:p w14:paraId="4DB3CF40" w14:textId="77777777" w:rsidR="00E66105" w:rsidRDefault="00000000">
            <w:pPr>
              <w:keepNext/>
              <w:jc w:val="center"/>
            </w:pPr>
            <w:r>
              <w:t>0</w:t>
            </w:r>
          </w:p>
        </w:tc>
        <w:tc>
          <w:tcPr>
            <w:tcW w:w="956" w:type="pct"/>
            <w:vAlign w:val="center"/>
          </w:tcPr>
          <w:p w14:paraId="0622B002" w14:textId="77777777" w:rsidR="00E66105" w:rsidRDefault="00000000">
            <w:pPr>
              <w:keepNext/>
              <w:jc w:val="center"/>
            </w:pPr>
            <w:r>
              <w:t>13.170,98</w:t>
            </w:r>
          </w:p>
        </w:tc>
        <w:tc>
          <w:tcPr>
            <w:tcW w:w="1392" w:type="pct"/>
            <w:vAlign w:val="center"/>
          </w:tcPr>
          <w:p w14:paraId="7BC6E376" w14:textId="77777777" w:rsidR="00E66105" w:rsidRDefault="00000000">
            <w:pPr>
              <w:keepNext/>
              <w:jc w:val="center"/>
            </w:pPr>
            <w:r>
              <w:t>-</w:t>
            </w:r>
          </w:p>
        </w:tc>
      </w:tr>
    </w:tbl>
    <w:p w14:paraId="6467384A" w14:textId="77777777" w:rsidR="00E66105" w:rsidRDefault="00000000">
      <w:r>
        <w:t> </w:t>
      </w:r>
    </w:p>
    <w:p w14:paraId="66E74A25" w14:textId="77777777" w:rsidR="00E66105" w:rsidRDefault="00000000">
      <w:r>
        <w:t> </w:t>
      </w:r>
    </w:p>
    <w:p w14:paraId="5214506C" w14:textId="77777777" w:rsidR="00E66105" w:rsidRDefault="00E66105"/>
    <w:p w14:paraId="705E170C" w14:textId="77777777" w:rsidR="00E66105"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143CBF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A72310"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F918D1"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9FB5E"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D1F49"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562111"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3F5215" w14:textId="77777777" w:rsidR="00E66105" w:rsidRDefault="00000000">
            <w:pPr>
              <w:keepNext/>
              <w:keepLines/>
              <w:spacing w:after="0" w:line="240" w:lineRule="auto"/>
              <w:jc w:val="center"/>
            </w:pPr>
            <w:r>
              <w:rPr>
                <w:b/>
                <w:sz w:val="18"/>
              </w:rPr>
              <w:t>Indeks (%)</w:t>
            </w:r>
          </w:p>
        </w:tc>
      </w:tr>
      <w:tr w:rsidR="00E66105" w14:paraId="31163A5F" w14:textId="77777777">
        <w:tblPrEx>
          <w:tblCellMar>
            <w:top w:w="0" w:type="dxa"/>
            <w:bottom w:w="0" w:type="dxa"/>
          </w:tblCellMar>
        </w:tblPrEx>
        <w:trPr>
          <w:cantSplit/>
          <w:trHeight w:val="560"/>
        </w:trPr>
        <w:tc>
          <w:tcPr>
            <w:tcW w:w="700" w:type="dxa"/>
            <w:tcMar>
              <w:top w:w="0" w:type="dxa"/>
              <w:bottom w:w="0" w:type="dxa"/>
            </w:tcMar>
            <w:vAlign w:val="center"/>
          </w:tcPr>
          <w:p w14:paraId="7985C3B9" w14:textId="77777777" w:rsidR="00E66105" w:rsidRDefault="00000000">
            <w:pPr>
              <w:keepNext/>
              <w:keepLines/>
              <w:spacing w:after="0" w:line="240" w:lineRule="auto"/>
            </w:pPr>
            <w:r>
              <w:rPr>
                <w:sz w:val="18"/>
              </w:rPr>
              <w:t>9</w:t>
            </w:r>
          </w:p>
        </w:tc>
        <w:tc>
          <w:tcPr>
            <w:tcW w:w="3180" w:type="dxa"/>
            <w:tcMar>
              <w:top w:w="0" w:type="dxa"/>
              <w:bottom w:w="0" w:type="dxa"/>
            </w:tcMar>
            <w:vAlign w:val="center"/>
          </w:tcPr>
          <w:p w14:paraId="1BB27CDB" w14:textId="77777777" w:rsidR="00E66105"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296C9FB9" w14:textId="77777777" w:rsidR="00E66105" w:rsidRDefault="00000000">
            <w:pPr>
              <w:keepNext/>
              <w:keepLines/>
              <w:spacing w:after="0" w:line="240" w:lineRule="auto"/>
            </w:pPr>
            <w:r>
              <w:rPr>
                <w:sz w:val="18"/>
              </w:rPr>
              <w:t>9</w:t>
            </w:r>
          </w:p>
        </w:tc>
        <w:tc>
          <w:tcPr>
            <w:tcW w:w="1860" w:type="dxa"/>
            <w:tcMar>
              <w:top w:w="0" w:type="dxa"/>
              <w:bottom w:w="0" w:type="dxa"/>
            </w:tcMar>
            <w:vAlign w:val="center"/>
          </w:tcPr>
          <w:p w14:paraId="47383E98" w14:textId="77777777" w:rsidR="00E66105" w:rsidRDefault="00000000">
            <w:pPr>
              <w:keepNext/>
              <w:keepLines/>
              <w:spacing w:after="0" w:line="240" w:lineRule="auto"/>
              <w:jc w:val="right"/>
            </w:pPr>
            <w:r>
              <w:rPr>
                <w:sz w:val="18"/>
              </w:rPr>
              <w:t>17.991,24</w:t>
            </w:r>
          </w:p>
        </w:tc>
        <w:tc>
          <w:tcPr>
            <w:tcW w:w="1860" w:type="dxa"/>
            <w:tcMar>
              <w:top w:w="0" w:type="dxa"/>
              <w:bottom w:w="0" w:type="dxa"/>
            </w:tcMar>
            <w:vAlign w:val="center"/>
          </w:tcPr>
          <w:p w14:paraId="53C62482" w14:textId="77777777" w:rsidR="00E66105" w:rsidRDefault="00000000">
            <w:pPr>
              <w:keepNext/>
              <w:keepLines/>
              <w:spacing w:after="0" w:line="240" w:lineRule="auto"/>
              <w:jc w:val="right"/>
            </w:pPr>
            <w:r>
              <w:rPr>
                <w:sz w:val="18"/>
              </w:rPr>
              <w:t>26.138,44</w:t>
            </w:r>
          </w:p>
        </w:tc>
        <w:tc>
          <w:tcPr>
            <w:tcW w:w="700" w:type="dxa"/>
            <w:tcMar>
              <w:top w:w="0" w:type="dxa"/>
              <w:bottom w:w="0" w:type="dxa"/>
            </w:tcMar>
            <w:vAlign w:val="center"/>
          </w:tcPr>
          <w:p w14:paraId="73738084" w14:textId="77777777" w:rsidR="00E66105" w:rsidRDefault="00000000">
            <w:pPr>
              <w:keepNext/>
              <w:keepLines/>
              <w:spacing w:after="0" w:line="240" w:lineRule="auto"/>
              <w:jc w:val="right"/>
            </w:pPr>
            <w:r>
              <w:rPr>
                <w:sz w:val="18"/>
              </w:rPr>
              <w:t>145,3</w:t>
            </w:r>
          </w:p>
        </w:tc>
      </w:tr>
    </w:tbl>
    <w:p w14:paraId="3CCA1013" w14:textId="77777777" w:rsidR="00E66105" w:rsidRDefault="00E66105">
      <w:pPr>
        <w:spacing w:after="0"/>
      </w:pPr>
    </w:p>
    <w:p w14:paraId="2ED78045" w14:textId="77777777" w:rsidR="00E66105" w:rsidRDefault="00000000">
      <w:r>
        <w:t>Vlastiti izvori (šifra 9) – povećani su u odnosu na 1. siječnja 2025. za 45,3 % i iznose 26.138,44 EUR.</w:t>
      </w:r>
    </w:p>
    <w:p w14:paraId="1C60A8F7" w14:textId="77777777" w:rsidR="00E66105" w:rsidRDefault="00000000">
      <w:r>
        <w:t>Vlastiti izvori i ispravak vlastitih izvora (šifra 91) – smanjeni su u odnosu na 1. siječnja 2025. za 4,6 % i iznose 15.585,71 EUR zbog provedenog godišnjeg obračuna ispravka vrijednosti koji umanjuje izvore vlasništva podskupine 911.</w:t>
      </w:r>
    </w:p>
    <w:p w14:paraId="433ED3A9" w14:textId="77777777" w:rsidR="00E66105" w:rsidRDefault="00000000">
      <w:r>
        <w:t>Višak / manjak prihoda  (šifra 922) - na kraju proračunske godine utvrđen je manjak prihoda u ukupnom iznosu od 1.344,53 EUR, koji se sastoji od manjka prihoda poslovanja (šifra 92221) 1.344,53 EUR. U 2025. godini nije bilo temelja za provođenje korekcije rezultata sukladno članku 82. Pravilnika o proračunskom računovodstvu i računskom planu.</w:t>
      </w:r>
    </w:p>
    <w:p w14:paraId="5C4AE29E" w14:textId="77777777" w:rsidR="00E66105" w:rsidRDefault="00E66105"/>
    <w:p w14:paraId="3FE4BAA3" w14:textId="77777777" w:rsidR="00E66105"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6EB537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D8E6FE"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2267B4"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13E87"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8AE97"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4E9FC2"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53CB91" w14:textId="77777777" w:rsidR="00E66105" w:rsidRDefault="00000000">
            <w:pPr>
              <w:keepNext/>
              <w:keepLines/>
              <w:spacing w:after="0" w:line="240" w:lineRule="auto"/>
              <w:jc w:val="center"/>
            </w:pPr>
            <w:r>
              <w:rPr>
                <w:b/>
                <w:sz w:val="18"/>
              </w:rPr>
              <w:t>Indeks (%)</w:t>
            </w:r>
          </w:p>
        </w:tc>
      </w:tr>
      <w:tr w:rsidR="00E66105" w14:paraId="1B5C4E0A" w14:textId="77777777">
        <w:tblPrEx>
          <w:tblCellMar>
            <w:top w:w="0" w:type="dxa"/>
            <w:bottom w:w="0" w:type="dxa"/>
          </w:tblCellMar>
        </w:tblPrEx>
        <w:trPr>
          <w:cantSplit/>
          <w:trHeight w:val="560"/>
        </w:trPr>
        <w:tc>
          <w:tcPr>
            <w:tcW w:w="700" w:type="dxa"/>
            <w:tcMar>
              <w:top w:w="0" w:type="dxa"/>
              <w:bottom w:w="0" w:type="dxa"/>
            </w:tcMar>
            <w:vAlign w:val="center"/>
          </w:tcPr>
          <w:p w14:paraId="3918F141" w14:textId="77777777" w:rsidR="00E66105" w:rsidRDefault="00000000">
            <w:pPr>
              <w:keepNext/>
              <w:keepLines/>
              <w:spacing w:after="0" w:line="240" w:lineRule="auto"/>
            </w:pPr>
            <w:r>
              <w:rPr>
                <w:sz w:val="18"/>
              </w:rPr>
              <w:t>965</w:t>
            </w:r>
          </w:p>
        </w:tc>
        <w:tc>
          <w:tcPr>
            <w:tcW w:w="3180" w:type="dxa"/>
            <w:tcMar>
              <w:top w:w="0" w:type="dxa"/>
              <w:bottom w:w="0" w:type="dxa"/>
            </w:tcMar>
            <w:vAlign w:val="center"/>
          </w:tcPr>
          <w:p w14:paraId="0CEC0CC7" w14:textId="77777777" w:rsidR="00E66105" w:rsidRDefault="00000000">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56B2F0AE" w14:textId="77777777" w:rsidR="00E66105" w:rsidRDefault="00000000">
            <w:pPr>
              <w:keepNext/>
              <w:keepLines/>
              <w:spacing w:after="0" w:line="240" w:lineRule="auto"/>
            </w:pPr>
            <w:r>
              <w:rPr>
                <w:sz w:val="18"/>
              </w:rPr>
              <w:t>965</w:t>
            </w:r>
          </w:p>
        </w:tc>
        <w:tc>
          <w:tcPr>
            <w:tcW w:w="1860" w:type="dxa"/>
            <w:tcMar>
              <w:top w:w="0" w:type="dxa"/>
              <w:bottom w:w="0" w:type="dxa"/>
            </w:tcMar>
            <w:vAlign w:val="center"/>
          </w:tcPr>
          <w:p w14:paraId="29C81A81" w14:textId="77777777" w:rsidR="00E66105" w:rsidRDefault="00000000">
            <w:pPr>
              <w:keepNext/>
              <w:keepLines/>
              <w:spacing w:after="0" w:line="240" w:lineRule="auto"/>
              <w:jc w:val="right"/>
            </w:pPr>
            <w:r>
              <w:rPr>
                <w:sz w:val="18"/>
              </w:rPr>
              <w:t>12.039,61</w:t>
            </w:r>
          </w:p>
        </w:tc>
        <w:tc>
          <w:tcPr>
            <w:tcW w:w="1860" w:type="dxa"/>
            <w:tcMar>
              <w:top w:w="0" w:type="dxa"/>
              <w:bottom w:w="0" w:type="dxa"/>
            </w:tcMar>
            <w:vAlign w:val="center"/>
          </w:tcPr>
          <w:p w14:paraId="7CAD91CA" w14:textId="77777777" w:rsidR="00E66105" w:rsidRDefault="00000000">
            <w:pPr>
              <w:keepNext/>
              <w:keepLines/>
              <w:spacing w:after="0" w:line="240" w:lineRule="auto"/>
              <w:jc w:val="right"/>
            </w:pPr>
            <w:r>
              <w:rPr>
                <w:sz w:val="18"/>
              </w:rPr>
              <w:t>11.897,26</w:t>
            </w:r>
          </w:p>
        </w:tc>
        <w:tc>
          <w:tcPr>
            <w:tcW w:w="700" w:type="dxa"/>
            <w:tcMar>
              <w:top w:w="0" w:type="dxa"/>
              <w:bottom w:w="0" w:type="dxa"/>
            </w:tcMar>
            <w:vAlign w:val="center"/>
          </w:tcPr>
          <w:p w14:paraId="29BEE4CD" w14:textId="77777777" w:rsidR="00E66105" w:rsidRDefault="00000000">
            <w:pPr>
              <w:keepNext/>
              <w:keepLines/>
              <w:spacing w:after="0" w:line="240" w:lineRule="auto"/>
              <w:jc w:val="right"/>
            </w:pPr>
            <w:r>
              <w:rPr>
                <w:sz w:val="18"/>
              </w:rPr>
              <w:t>98,8</w:t>
            </w:r>
          </w:p>
        </w:tc>
      </w:tr>
    </w:tbl>
    <w:p w14:paraId="3F2A86A3" w14:textId="77777777" w:rsidR="00E66105" w:rsidRDefault="00E66105">
      <w:pPr>
        <w:spacing w:after="0"/>
      </w:pPr>
    </w:p>
    <w:p w14:paraId="5D7BED1C" w14:textId="77777777" w:rsidR="00E66105" w:rsidRDefault="00000000">
      <w:r>
        <w:t>Obračunati prihodi poslovanja (šifra 96) - iznose 11.897,26 EUR i odnose se na nenaplaćena potraživanja od roditelja za sufinanciranje cijene usluge.</w:t>
      </w:r>
    </w:p>
    <w:p w14:paraId="76443977" w14:textId="77777777" w:rsidR="00E66105" w:rsidRDefault="00000000">
      <w:r>
        <w:t> </w:t>
      </w:r>
    </w:p>
    <w:p w14:paraId="325D7275" w14:textId="77777777" w:rsidR="00E66105" w:rsidRDefault="00000000">
      <w:r>
        <w:t>Obvezne Bilješke uz Bilancu su:</w:t>
      </w:r>
    </w:p>
    <w:p w14:paraId="45FCBF75" w14:textId="77777777" w:rsidR="00E66105" w:rsidRDefault="00000000">
      <w:pPr>
        <w:pStyle w:val="Odlomakpopisa"/>
        <w:numPr>
          <w:ilvl w:val="0"/>
          <w:numId w:val="1"/>
        </w:numPr>
      </w:pPr>
      <w:r>
        <w:t>Popis ugovornih odnosa i slično koji uz ispunjenje određenih uvjeta, mogu postati obveza ili imovina (dana kreditna pisma, hipoteke i slično) – Na dan 31. prosinca 2025. godine Dječji vrtić „Bubamara“ nema ugovornih odnosa i slično koji uz ispunjenje određenih uvjeta, mogu postati obveza ili imovina (dana kreditna pisma, hipoteke i slično).</w:t>
      </w:r>
    </w:p>
    <w:p w14:paraId="0C49B3E3" w14:textId="77777777" w:rsidR="00E66105" w:rsidRDefault="00000000">
      <w:pPr>
        <w:pStyle w:val="Odlomakpopisa"/>
        <w:numPr>
          <w:ilvl w:val="0"/>
          <w:numId w:val="1"/>
        </w:numPr>
      </w:pPr>
      <w:r>
        <w:t>Popis sudskih sporova u tijeku - Na dan 31. prosinca 2025. godine Dječji vrtić „Bubamara“ nema sudskih sporova u tijeku.</w:t>
      </w:r>
    </w:p>
    <w:p w14:paraId="0286D0C7" w14:textId="77777777" w:rsidR="00E66105" w:rsidRDefault="00E66105"/>
    <w:p w14:paraId="09041672" w14:textId="77777777" w:rsidR="00E66105"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7E3748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DDD713"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90E58F"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C37EA3"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DDE4F8" w14:textId="77777777" w:rsidR="00E6610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A5C8F2" w14:textId="77777777" w:rsidR="00E6610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1AEE5E" w14:textId="77777777" w:rsidR="00E66105" w:rsidRDefault="00000000">
            <w:pPr>
              <w:keepNext/>
              <w:keepLines/>
              <w:spacing w:after="0" w:line="240" w:lineRule="auto"/>
              <w:jc w:val="center"/>
            </w:pPr>
            <w:r>
              <w:rPr>
                <w:b/>
                <w:sz w:val="18"/>
              </w:rPr>
              <w:t>Indeks (%)</w:t>
            </w:r>
          </w:p>
        </w:tc>
      </w:tr>
      <w:tr w:rsidR="00E66105" w14:paraId="64D9980A" w14:textId="77777777">
        <w:tblPrEx>
          <w:tblCellMar>
            <w:top w:w="0" w:type="dxa"/>
            <w:bottom w:w="0" w:type="dxa"/>
          </w:tblCellMar>
        </w:tblPrEx>
        <w:trPr>
          <w:cantSplit/>
          <w:trHeight w:val="560"/>
        </w:trPr>
        <w:tc>
          <w:tcPr>
            <w:tcW w:w="700" w:type="dxa"/>
            <w:tcMar>
              <w:top w:w="0" w:type="dxa"/>
              <w:bottom w:w="0" w:type="dxa"/>
            </w:tcMar>
            <w:vAlign w:val="center"/>
          </w:tcPr>
          <w:p w14:paraId="29EF5F05" w14:textId="77777777" w:rsidR="00E66105" w:rsidRDefault="00000000">
            <w:pPr>
              <w:keepNext/>
              <w:keepLines/>
              <w:spacing w:after="0" w:line="240" w:lineRule="auto"/>
            </w:pPr>
            <w:r>
              <w:rPr>
                <w:sz w:val="18"/>
              </w:rPr>
              <w:t>27611</w:t>
            </w:r>
          </w:p>
        </w:tc>
        <w:tc>
          <w:tcPr>
            <w:tcW w:w="3180" w:type="dxa"/>
            <w:tcMar>
              <w:top w:w="0" w:type="dxa"/>
              <w:bottom w:w="0" w:type="dxa"/>
            </w:tcMar>
            <w:vAlign w:val="center"/>
          </w:tcPr>
          <w:p w14:paraId="5F1D1828" w14:textId="77777777" w:rsidR="00E66105" w:rsidRDefault="00000000">
            <w:pPr>
              <w:keepNext/>
              <w:keepLines/>
              <w:spacing w:after="0" w:line="240" w:lineRule="auto"/>
            </w:pPr>
            <w:r>
              <w:rPr>
                <w:sz w:val="18"/>
              </w:rPr>
              <w:t>Obveze proračunskih korisnika za povrat u proračun</w:t>
            </w:r>
          </w:p>
        </w:tc>
        <w:tc>
          <w:tcPr>
            <w:tcW w:w="700" w:type="dxa"/>
            <w:tcMar>
              <w:top w:w="0" w:type="dxa"/>
              <w:bottom w:w="0" w:type="dxa"/>
            </w:tcMar>
            <w:vAlign w:val="center"/>
          </w:tcPr>
          <w:p w14:paraId="7A34B276" w14:textId="77777777" w:rsidR="00E66105" w:rsidRDefault="00000000">
            <w:pPr>
              <w:keepNext/>
              <w:keepLines/>
              <w:spacing w:after="0" w:line="240" w:lineRule="auto"/>
            </w:pPr>
            <w:r>
              <w:rPr>
                <w:sz w:val="18"/>
              </w:rPr>
              <w:t>27611</w:t>
            </w:r>
          </w:p>
        </w:tc>
        <w:tc>
          <w:tcPr>
            <w:tcW w:w="1860" w:type="dxa"/>
            <w:tcMar>
              <w:top w:w="0" w:type="dxa"/>
              <w:bottom w:w="0" w:type="dxa"/>
            </w:tcMar>
            <w:vAlign w:val="center"/>
          </w:tcPr>
          <w:p w14:paraId="52AF4357" w14:textId="77777777" w:rsidR="00E66105" w:rsidRDefault="00000000">
            <w:pPr>
              <w:keepNext/>
              <w:keepLines/>
              <w:spacing w:after="0" w:line="240" w:lineRule="auto"/>
              <w:jc w:val="right"/>
            </w:pPr>
            <w:r>
              <w:rPr>
                <w:sz w:val="18"/>
              </w:rPr>
              <w:t>0,00</w:t>
            </w:r>
          </w:p>
        </w:tc>
        <w:tc>
          <w:tcPr>
            <w:tcW w:w="1860" w:type="dxa"/>
            <w:tcMar>
              <w:top w:w="0" w:type="dxa"/>
              <w:bottom w:w="0" w:type="dxa"/>
            </w:tcMar>
            <w:vAlign w:val="center"/>
          </w:tcPr>
          <w:p w14:paraId="28B73ECB" w14:textId="77777777" w:rsidR="00E66105" w:rsidRDefault="00000000">
            <w:pPr>
              <w:keepNext/>
              <w:keepLines/>
              <w:spacing w:after="0" w:line="240" w:lineRule="auto"/>
              <w:jc w:val="right"/>
            </w:pPr>
            <w:r>
              <w:rPr>
                <w:sz w:val="18"/>
              </w:rPr>
              <w:t>3.881,26</w:t>
            </w:r>
          </w:p>
        </w:tc>
        <w:tc>
          <w:tcPr>
            <w:tcW w:w="700" w:type="dxa"/>
            <w:tcMar>
              <w:top w:w="0" w:type="dxa"/>
              <w:bottom w:w="0" w:type="dxa"/>
            </w:tcMar>
            <w:vAlign w:val="center"/>
          </w:tcPr>
          <w:p w14:paraId="18F0B196" w14:textId="77777777" w:rsidR="00E66105" w:rsidRDefault="00000000">
            <w:pPr>
              <w:keepNext/>
              <w:keepLines/>
              <w:spacing w:after="0" w:line="240" w:lineRule="auto"/>
              <w:jc w:val="right"/>
            </w:pPr>
            <w:r>
              <w:rPr>
                <w:sz w:val="18"/>
              </w:rPr>
              <w:t>-</w:t>
            </w:r>
          </w:p>
        </w:tc>
      </w:tr>
    </w:tbl>
    <w:p w14:paraId="0AAA9B97" w14:textId="77777777" w:rsidR="00E66105" w:rsidRDefault="00E66105">
      <w:pPr>
        <w:spacing w:after="0"/>
      </w:pPr>
    </w:p>
    <w:p w14:paraId="4E1FAF2B" w14:textId="77777777" w:rsidR="00E66105" w:rsidRDefault="00000000">
      <w:r>
        <w:t>Obveze proračunskih korisnika za povrat u proračun (27611) iznose 3.881,26 EUR, te se odnose na povrat Općini Ližnjan - razlika u predujmu plaće i konačno ostvarenih troškova plaće za 12/2025.</w:t>
      </w:r>
    </w:p>
    <w:p w14:paraId="308FF11E" w14:textId="77777777" w:rsidR="00E66105" w:rsidRDefault="00E66105"/>
    <w:p w14:paraId="1D21E657" w14:textId="77777777" w:rsidR="00E66105" w:rsidRDefault="00000000">
      <w:pPr>
        <w:keepNext/>
        <w:spacing w:line="240" w:lineRule="auto"/>
        <w:jc w:val="center"/>
      </w:pPr>
      <w:r>
        <w:rPr>
          <w:b/>
          <w:sz w:val="28"/>
        </w:rPr>
        <w:t>Izvještaj o rashodima prema funkcijskoj klasifikaciji</w:t>
      </w:r>
    </w:p>
    <w:p w14:paraId="388E544C" w14:textId="77777777" w:rsidR="00E66105"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5ECFE6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44C665"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7BE1EA"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96A3F4"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1C883B" w14:textId="77777777" w:rsidR="00E6610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A308F0" w14:textId="77777777" w:rsidR="00E6610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9AC04C" w14:textId="77777777" w:rsidR="00E66105" w:rsidRDefault="00000000">
            <w:pPr>
              <w:keepNext/>
              <w:keepLines/>
              <w:spacing w:after="0" w:line="240" w:lineRule="auto"/>
              <w:jc w:val="center"/>
            </w:pPr>
            <w:r>
              <w:rPr>
                <w:b/>
                <w:sz w:val="18"/>
              </w:rPr>
              <w:t>Indeks (%)</w:t>
            </w:r>
          </w:p>
        </w:tc>
      </w:tr>
      <w:tr w:rsidR="00E66105" w14:paraId="52191C37" w14:textId="77777777">
        <w:tblPrEx>
          <w:tblCellMar>
            <w:top w:w="0" w:type="dxa"/>
            <w:bottom w:w="0" w:type="dxa"/>
          </w:tblCellMar>
        </w:tblPrEx>
        <w:trPr>
          <w:cantSplit/>
          <w:trHeight w:val="560"/>
        </w:trPr>
        <w:tc>
          <w:tcPr>
            <w:tcW w:w="700" w:type="dxa"/>
            <w:tcMar>
              <w:top w:w="0" w:type="dxa"/>
              <w:bottom w:w="0" w:type="dxa"/>
            </w:tcMar>
            <w:vAlign w:val="center"/>
          </w:tcPr>
          <w:p w14:paraId="68D11DC3" w14:textId="77777777" w:rsidR="00E66105" w:rsidRDefault="00000000">
            <w:pPr>
              <w:keepNext/>
              <w:keepLines/>
              <w:spacing w:after="0" w:line="240" w:lineRule="auto"/>
            </w:pPr>
            <w:r>
              <w:rPr>
                <w:sz w:val="18"/>
              </w:rPr>
              <w:t>09</w:t>
            </w:r>
          </w:p>
        </w:tc>
        <w:tc>
          <w:tcPr>
            <w:tcW w:w="3180" w:type="dxa"/>
            <w:tcMar>
              <w:top w:w="0" w:type="dxa"/>
              <w:bottom w:w="0" w:type="dxa"/>
            </w:tcMar>
            <w:vAlign w:val="center"/>
          </w:tcPr>
          <w:p w14:paraId="396FB468" w14:textId="77777777" w:rsidR="00E66105"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0D68C935" w14:textId="77777777" w:rsidR="00E66105" w:rsidRDefault="00000000">
            <w:pPr>
              <w:keepNext/>
              <w:keepLines/>
              <w:spacing w:after="0" w:line="240" w:lineRule="auto"/>
            </w:pPr>
            <w:r>
              <w:rPr>
                <w:sz w:val="18"/>
              </w:rPr>
              <w:t>09</w:t>
            </w:r>
          </w:p>
        </w:tc>
        <w:tc>
          <w:tcPr>
            <w:tcW w:w="1860" w:type="dxa"/>
            <w:tcMar>
              <w:top w:w="0" w:type="dxa"/>
              <w:bottom w:w="0" w:type="dxa"/>
            </w:tcMar>
            <w:vAlign w:val="center"/>
          </w:tcPr>
          <w:p w14:paraId="07FBBE6A" w14:textId="77777777" w:rsidR="00E66105" w:rsidRDefault="00000000">
            <w:pPr>
              <w:keepNext/>
              <w:keepLines/>
              <w:spacing w:after="0" w:line="240" w:lineRule="auto"/>
              <w:jc w:val="right"/>
            </w:pPr>
            <w:r>
              <w:rPr>
                <w:sz w:val="18"/>
              </w:rPr>
              <w:t>461.063,99</w:t>
            </w:r>
          </w:p>
        </w:tc>
        <w:tc>
          <w:tcPr>
            <w:tcW w:w="1860" w:type="dxa"/>
            <w:tcMar>
              <w:top w:w="0" w:type="dxa"/>
              <w:bottom w:w="0" w:type="dxa"/>
            </w:tcMar>
            <w:vAlign w:val="center"/>
          </w:tcPr>
          <w:p w14:paraId="5FC498E9" w14:textId="77777777" w:rsidR="00E66105" w:rsidRDefault="00000000">
            <w:pPr>
              <w:keepNext/>
              <w:keepLines/>
              <w:spacing w:after="0" w:line="240" w:lineRule="auto"/>
              <w:jc w:val="right"/>
            </w:pPr>
            <w:r>
              <w:rPr>
                <w:sz w:val="18"/>
              </w:rPr>
              <w:t>568.803,60</w:t>
            </w:r>
          </w:p>
        </w:tc>
        <w:tc>
          <w:tcPr>
            <w:tcW w:w="700" w:type="dxa"/>
            <w:tcMar>
              <w:top w:w="0" w:type="dxa"/>
              <w:bottom w:w="0" w:type="dxa"/>
            </w:tcMar>
            <w:vAlign w:val="center"/>
          </w:tcPr>
          <w:p w14:paraId="142B0986" w14:textId="77777777" w:rsidR="00E66105" w:rsidRDefault="00000000">
            <w:pPr>
              <w:keepNext/>
              <w:keepLines/>
              <w:spacing w:after="0" w:line="240" w:lineRule="auto"/>
              <w:jc w:val="right"/>
            </w:pPr>
            <w:r>
              <w:rPr>
                <w:sz w:val="18"/>
              </w:rPr>
              <w:t>123,4</w:t>
            </w:r>
          </w:p>
        </w:tc>
      </w:tr>
    </w:tbl>
    <w:p w14:paraId="285C4F36" w14:textId="77777777" w:rsidR="00E66105" w:rsidRDefault="00E66105">
      <w:pPr>
        <w:spacing w:after="0"/>
      </w:pPr>
    </w:p>
    <w:p w14:paraId="78578D4D" w14:textId="77777777" w:rsidR="00E66105" w:rsidRDefault="00000000">
      <w:r>
        <w:t>Sukladno Pravilniku o proračunskom računovodstvu i računskom planu te uputama Ministarstva financija sastavlja se obrazac o rashodima prema funkcijskoj klasifikaciji. Funkcijska klasifikacija sadrži rashode (samo razred 3 i 4) prema njihovoj namjeni koji su preuzeti iz međunarodne klasifikacije funkcija države (COFOG) Ujedinjenih naroda – Klasifikacija rashoda u skladu s namjenom.</w:t>
      </w:r>
    </w:p>
    <w:p w14:paraId="51D4B623" w14:textId="77777777" w:rsidR="00E66105" w:rsidRDefault="00000000">
      <w:r>
        <w:t>Rashodi dječjeg vrtića Dječjeg vrtića „Bubamara“ klasificiraju se pod funkciju 091 (predškolsko i osnovno obrazovanje), odnosno 0911 – Predškolsko obrazovanje, s tim da se rashodi hrane (konto 32224) te ostali rashodi sličnih dopunskih usluga namijenjenih djeci odnosno korisnicima usluga obrazovanja klasificiraju pod 096 – Dodatne usluge u obrazovanju. Navedeno je prikazano u nastavku.</w:t>
      </w:r>
    </w:p>
    <w:p w14:paraId="685C3D98" w14:textId="77777777" w:rsidR="00E66105" w:rsidRDefault="00000000">
      <w:r>
        <w:t> </w:t>
      </w:r>
    </w:p>
    <w:tbl>
      <w:tblPr>
        <w:tblStyle w:val="Reetkatablice"/>
        <w:tblW w:w="4772" w:type="pct"/>
        <w:tblLook w:val="04A0" w:firstRow="1" w:lastRow="0" w:firstColumn="1" w:lastColumn="0" w:noHBand="0" w:noVBand="1"/>
      </w:tblPr>
      <w:tblGrid>
        <w:gridCol w:w="1497"/>
        <w:gridCol w:w="2096"/>
        <w:gridCol w:w="1335"/>
        <w:gridCol w:w="2102"/>
        <w:gridCol w:w="1619"/>
      </w:tblGrid>
      <w:tr w:rsidR="00E66105" w14:paraId="7A8C4AA1" w14:textId="77777777">
        <w:trPr>
          <w:trHeight w:val="542"/>
        </w:trPr>
        <w:tc>
          <w:tcPr>
            <w:tcW w:w="865" w:type="pct"/>
            <w:vAlign w:val="center"/>
          </w:tcPr>
          <w:p w14:paraId="35B3EB1A" w14:textId="77777777" w:rsidR="00E66105" w:rsidRDefault="00000000">
            <w:pPr>
              <w:keepNext/>
              <w:jc w:val="center"/>
            </w:pPr>
            <w:r>
              <w:t>Brojč. ozn. funk. klas.</w:t>
            </w:r>
          </w:p>
        </w:tc>
        <w:tc>
          <w:tcPr>
            <w:tcW w:w="1211" w:type="pct"/>
            <w:vAlign w:val="center"/>
          </w:tcPr>
          <w:p w14:paraId="524F1A16" w14:textId="77777777" w:rsidR="00E66105" w:rsidRDefault="00000000">
            <w:pPr>
              <w:keepNext/>
              <w:jc w:val="center"/>
            </w:pPr>
            <w:r>
              <w:t>Opis stavke</w:t>
            </w:r>
          </w:p>
        </w:tc>
        <w:tc>
          <w:tcPr>
            <w:tcW w:w="771" w:type="pct"/>
            <w:vAlign w:val="center"/>
          </w:tcPr>
          <w:p w14:paraId="3FA8AF6F" w14:textId="77777777" w:rsidR="00E66105" w:rsidRDefault="00000000">
            <w:pPr>
              <w:keepNext/>
              <w:jc w:val="center"/>
            </w:pPr>
            <w:r>
              <w:t>2024.</w:t>
            </w:r>
          </w:p>
        </w:tc>
        <w:tc>
          <w:tcPr>
            <w:tcW w:w="1215" w:type="pct"/>
            <w:vAlign w:val="center"/>
          </w:tcPr>
          <w:p w14:paraId="455F0F50" w14:textId="77777777" w:rsidR="00E66105" w:rsidRDefault="00000000">
            <w:pPr>
              <w:keepNext/>
              <w:jc w:val="center"/>
            </w:pPr>
            <w:r>
              <w:t>2025.</w:t>
            </w:r>
          </w:p>
        </w:tc>
        <w:tc>
          <w:tcPr>
            <w:tcW w:w="936" w:type="pct"/>
            <w:vAlign w:val="center"/>
          </w:tcPr>
          <w:p w14:paraId="6ADB4FAB" w14:textId="77777777" w:rsidR="00E66105" w:rsidRDefault="00000000">
            <w:pPr>
              <w:keepNext/>
              <w:jc w:val="center"/>
            </w:pPr>
            <w:r>
              <w:t>Indeks</w:t>
            </w:r>
          </w:p>
        </w:tc>
      </w:tr>
      <w:tr w:rsidR="00E66105" w14:paraId="108C5DF5" w14:textId="77777777">
        <w:trPr>
          <w:trHeight w:val="542"/>
        </w:trPr>
        <w:tc>
          <w:tcPr>
            <w:tcW w:w="865" w:type="pct"/>
            <w:vAlign w:val="center"/>
          </w:tcPr>
          <w:p w14:paraId="7317F7E6" w14:textId="77777777" w:rsidR="00E66105" w:rsidRDefault="00000000">
            <w:pPr>
              <w:keepNext/>
              <w:jc w:val="center"/>
            </w:pPr>
            <w:r>
              <w:t>09</w:t>
            </w:r>
          </w:p>
        </w:tc>
        <w:tc>
          <w:tcPr>
            <w:tcW w:w="1211" w:type="pct"/>
            <w:vAlign w:val="center"/>
          </w:tcPr>
          <w:p w14:paraId="798E24AB" w14:textId="77777777" w:rsidR="00E66105" w:rsidRDefault="00000000">
            <w:pPr>
              <w:keepNext/>
              <w:jc w:val="center"/>
            </w:pPr>
            <w:r>
              <w:t>Obrazovanje </w:t>
            </w:r>
          </w:p>
        </w:tc>
        <w:tc>
          <w:tcPr>
            <w:tcW w:w="771" w:type="pct"/>
            <w:vAlign w:val="center"/>
          </w:tcPr>
          <w:p w14:paraId="5D21A689" w14:textId="77777777" w:rsidR="00E66105" w:rsidRDefault="00000000">
            <w:pPr>
              <w:keepNext/>
              <w:jc w:val="center"/>
            </w:pPr>
            <w:r>
              <w:t>461.063,99</w:t>
            </w:r>
          </w:p>
        </w:tc>
        <w:tc>
          <w:tcPr>
            <w:tcW w:w="1215" w:type="pct"/>
            <w:vAlign w:val="center"/>
          </w:tcPr>
          <w:p w14:paraId="6EFEBDB1" w14:textId="77777777" w:rsidR="00E66105" w:rsidRDefault="00000000">
            <w:pPr>
              <w:keepNext/>
              <w:jc w:val="center"/>
            </w:pPr>
            <w:r>
              <w:t>568.803,60</w:t>
            </w:r>
          </w:p>
        </w:tc>
        <w:tc>
          <w:tcPr>
            <w:tcW w:w="936" w:type="pct"/>
            <w:vAlign w:val="center"/>
          </w:tcPr>
          <w:p w14:paraId="3DC02D08" w14:textId="77777777" w:rsidR="00E66105" w:rsidRDefault="00000000">
            <w:pPr>
              <w:keepNext/>
              <w:jc w:val="center"/>
            </w:pPr>
            <w:r>
              <w:t>123,4</w:t>
            </w:r>
          </w:p>
        </w:tc>
      </w:tr>
      <w:tr w:rsidR="00E66105" w14:paraId="6F4D681C" w14:textId="77777777">
        <w:trPr>
          <w:trHeight w:val="878"/>
        </w:trPr>
        <w:tc>
          <w:tcPr>
            <w:tcW w:w="865" w:type="pct"/>
            <w:vAlign w:val="center"/>
          </w:tcPr>
          <w:p w14:paraId="73FD2F81" w14:textId="77777777" w:rsidR="00E66105" w:rsidRDefault="00000000">
            <w:pPr>
              <w:keepNext/>
              <w:jc w:val="center"/>
            </w:pPr>
            <w:r>
              <w:t>091</w:t>
            </w:r>
          </w:p>
        </w:tc>
        <w:tc>
          <w:tcPr>
            <w:tcW w:w="1211" w:type="pct"/>
            <w:vAlign w:val="center"/>
          </w:tcPr>
          <w:p w14:paraId="53146E35" w14:textId="77777777" w:rsidR="00E66105" w:rsidRDefault="00000000">
            <w:pPr>
              <w:keepNext/>
              <w:jc w:val="center"/>
            </w:pPr>
            <w:r>
              <w:t>Predškolsko i osnovno obrazovanje </w:t>
            </w:r>
          </w:p>
        </w:tc>
        <w:tc>
          <w:tcPr>
            <w:tcW w:w="771" w:type="pct"/>
            <w:vAlign w:val="center"/>
          </w:tcPr>
          <w:p w14:paraId="51D4DB51" w14:textId="77777777" w:rsidR="00E66105" w:rsidRDefault="00000000">
            <w:pPr>
              <w:keepNext/>
              <w:jc w:val="center"/>
            </w:pPr>
            <w:r>
              <w:t>409.664,35</w:t>
            </w:r>
          </w:p>
        </w:tc>
        <w:tc>
          <w:tcPr>
            <w:tcW w:w="1215" w:type="pct"/>
            <w:vAlign w:val="center"/>
          </w:tcPr>
          <w:p w14:paraId="6DEE9A20" w14:textId="77777777" w:rsidR="00E66105" w:rsidRDefault="00000000">
            <w:pPr>
              <w:keepNext/>
              <w:jc w:val="center"/>
            </w:pPr>
            <w:r>
              <w:t>510.721,50</w:t>
            </w:r>
          </w:p>
        </w:tc>
        <w:tc>
          <w:tcPr>
            <w:tcW w:w="936" w:type="pct"/>
            <w:vAlign w:val="center"/>
          </w:tcPr>
          <w:p w14:paraId="759BA672" w14:textId="77777777" w:rsidR="00E66105" w:rsidRDefault="00000000">
            <w:pPr>
              <w:keepNext/>
              <w:jc w:val="center"/>
            </w:pPr>
            <w:r>
              <w:t>124,7</w:t>
            </w:r>
          </w:p>
        </w:tc>
      </w:tr>
      <w:tr w:rsidR="00E66105" w14:paraId="3C4C4638" w14:textId="77777777">
        <w:trPr>
          <w:trHeight w:val="542"/>
        </w:trPr>
        <w:tc>
          <w:tcPr>
            <w:tcW w:w="865" w:type="pct"/>
            <w:vAlign w:val="center"/>
          </w:tcPr>
          <w:p w14:paraId="079FEE64" w14:textId="77777777" w:rsidR="00E66105" w:rsidRDefault="00000000">
            <w:pPr>
              <w:keepNext/>
              <w:jc w:val="center"/>
            </w:pPr>
            <w:r>
              <w:t>0911</w:t>
            </w:r>
          </w:p>
        </w:tc>
        <w:tc>
          <w:tcPr>
            <w:tcW w:w="1211" w:type="pct"/>
            <w:vAlign w:val="center"/>
          </w:tcPr>
          <w:p w14:paraId="1D891B51" w14:textId="77777777" w:rsidR="00E66105" w:rsidRDefault="00000000">
            <w:pPr>
              <w:keepNext/>
              <w:jc w:val="center"/>
            </w:pPr>
            <w:r>
              <w:t>Predškolsko obrazovanje</w:t>
            </w:r>
          </w:p>
        </w:tc>
        <w:tc>
          <w:tcPr>
            <w:tcW w:w="771" w:type="pct"/>
            <w:vAlign w:val="center"/>
          </w:tcPr>
          <w:p w14:paraId="2FE9B39D" w14:textId="77777777" w:rsidR="00E66105" w:rsidRDefault="00000000">
            <w:pPr>
              <w:keepNext/>
              <w:jc w:val="center"/>
            </w:pPr>
            <w:r>
              <w:t>409.664,35</w:t>
            </w:r>
          </w:p>
        </w:tc>
        <w:tc>
          <w:tcPr>
            <w:tcW w:w="1215" w:type="pct"/>
            <w:vAlign w:val="center"/>
          </w:tcPr>
          <w:p w14:paraId="339C68ED" w14:textId="77777777" w:rsidR="00E66105" w:rsidRDefault="00000000">
            <w:pPr>
              <w:keepNext/>
              <w:jc w:val="center"/>
            </w:pPr>
            <w:r>
              <w:t>510.721,50</w:t>
            </w:r>
          </w:p>
        </w:tc>
        <w:tc>
          <w:tcPr>
            <w:tcW w:w="936" w:type="pct"/>
            <w:vAlign w:val="center"/>
          </w:tcPr>
          <w:p w14:paraId="12720C3D" w14:textId="77777777" w:rsidR="00E66105" w:rsidRDefault="00000000">
            <w:pPr>
              <w:keepNext/>
              <w:jc w:val="center"/>
            </w:pPr>
            <w:r>
              <w:t>124,7</w:t>
            </w:r>
          </w:p>
        </w:tc>
      </w:tr>
      <w:tr w:rsidR="00E66105" w14:paraId="6D048969" w14:textId="77777777">
        <w:trPr>
          <w:trHeight w:val="878"/>
        </w:trPr>
        <w:tc>
          <w:tcPr>
            <w:tcW w:w="865" w:type="pct"/>
            <w:vAlign w:val="center"/>
          </w:tcPr>
          <w:p w14:paraId="552EA5D0" w14:textId="77777777" w:rsidR="00E66105" w:rsidRDefault="00000000">
            <w:pPr>
              <w:keepNext/>
              <w:jc w:val="center"/>
            </w:pPr>
            <w:r>
              <w:t>096</w:t>
            </w:r>
          </w:p>
        </w:tc>
        <w:tc>
          <w:tcPr>
            <w:tcW w:w="1211" w:type="pct"/>
            <w:vAlign w:val="center"/>
          </w:tcPr>
          <w:p w14:paraId="799C03BC" w14:textId="77777777" w:rsidR="00E66105" w:rsidRDefault="00000000">
            <w:pPr>
              <w:keepNext/>
              <w:jc w:val="center"/>
            </w:pPr>
            <w:r>
              <w:t>Dodatne usluge u obrazovanju</w:t>
            </w:r>
          </w:p>
        </w:tc>
        <w:tc>
          <w:tcPr>
            <w:tcW w:w="771" w:type="pct"/>
            <w:vAlign w:val="center"/>
          </w:tcPr>
          <w:p w14:paraId="71484811" w14:textId="77777777" w:rsidR="00E66105" w:rsidRDefault="00000000">
            <w:pPr>
              <w:keepNext/>
              <w:jc w:val="center"/>
            </w:pPr>
            <w:r>
              <w:t>51.399,64</w:t>
            </w:r>
          </w:p>
        </w:tc>
        <w:tc>
          <w:tcPr>
            <w:tcW w:w="1215" w:type="pct"/>
            <w:vAlign w:val="center"/>
          </w:tcPr>
          <w:p w14:paraId="7D01AF48" w14:textId="77777777" w:rsidR="00E66105" w:rsidRDefault="00000000">
            <w:pPr>
              <w:keepNext/>
              <w:jc w:val="center"/>
            </w:pPr>
            <w:r>
              <w:t>58.082,10</w:t>
            </w:r>
          </w:p>
        </w:tc>
        <w:tc>
          <w:tcPr>
            <w:tcW w:w="936" w:type="pct"/>
            <w:vAlign w:val="center"/>
          </w:tcPr>
          <w:p w14:paraId="44AE47C7" w14:textId="77777777" w:rsidR="00E66105" w:rsidRDefault="00000000">
            <w:pPr>
              <w:keepNext/>
              <w:jc w:val="center"/>
            </w:pPr>
            <w:r>
              <w:t>113,0</w:t>
            </w:r>
          </w:p>
        </w:tc>
      </w:tr>
    </w:tbl>
    <w:p w14:paraId="62188577" w14:textId="77777777" w:rsidR="00E66105" w:rsidRDefault="00000000">
      <w:r>
        <w:t> </w:t>
      </w:r>
    </w:p>
    <w:p w14:paraId="61C51E0A" w14:textId="77777777" w:rsidR="00E66105" w:rsidRDefault="00E66105"/>
    <w:p w14:paraId="621E507B" w14:textId="77777777" w:rsidR="00E66105" w:rsidRDefault="00000000">
      <w:pPr>
        <w:keepNext/>
        <w:spacing w:line="240" w:lineRule="auto"/>
        <w:jc w:val="center"/>
      </w:pPr>
      <w:r>
        <w:rPr>
          <w:b/>
          <w:sz w:val="28"/>
        </w:rPr>
        <w:t>Promjene u vrijednosti i obujmu imovine i obveza</w:t>
      </w:r>
    </w:p>
    <w:p w14:paraId="40025946" w14:textId="77777777" w:rsidR="00E66105"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66105" w14:paraId="7B0F8B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279D0F"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C11EFE"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CEC83F"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E4E7C8" w14:textId="77777777" w:rsidR="00E66105"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D9CEE1F" w14:textId="77777777" w:rsidR="00E66105"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8680EE0" w14:textId="77777777" w:rsidR="00E66105" w:rsidRDefault="00000000">
            <w:pPr>
              <w:keepNext/>
              <w:keepLines/>
              <w:spacing w:after="0" w:line="240" w:lineRule="auto"/>
              <w:jc w:val="center"/>
            </w:pPr>
            <w:r>
              <w:rPr>
                <w:b/>
                <w:sz w:val="18"/>
              </w:rPr>
              <w:t>Indeks (%)</w:t>
            </w:r>
          </w:p>
        </w:tc>
      </w:tr>
      <w:tr w:rsidR="00E66105" w14:paraId="2F7EE723" w14:textId="77777777">
        <w:tblPrEx>
          <w:tblCellMar>
            <w:top w:w="0" w:type="dxa"/>
            <w:bottom w:w="0" w:type="dxa"/>
          </w:tblCellMar>
        </w:tblPrEx>
        <w:trPr>
          <w:cantSplit/>
          <w:trHeight w:val="560"/>
        </w:trPr>
        <w:tc>
          <w:tcPr>
            <w:tcW w:w="700" w:type="dxa"/>
            <w:tcMar>
              <w:top w:w="0" w:type="dxa"/>
              <w:bottom w:w="0" w:type="dxa"/>
            </w:tcMar>
            <w:vAlign w:val="center"/>
          </w:tcPr>
          <w:p w14:paraId="1E6C7AAE" w14:textId="77777777" w:rsidR="00E66105" w:rsidRDefault="00E66105">
            <w:pPr>
              <w:keepNext/>
              <w:keepLines/>
              <w:spacing w:after="0" w:line="240" w:lineRule="auto"/>
            </w:pPr>
          </w:p>
        </w:tc>
        <w:tc>
          <w:tcPr>
            <w:tcW w:w="3180" w:type="dxa"/>
            <w:tcMar>
              <w:top w:w="0" w:type="dxa"/>
              <w:bottom w:w="0" w:type="dxa"/>
            </w:tcMar>
            <w:vAlign w:val="center"/>
          </w:tcPr>
          <w:p w14:paraId="42AB1AEF" w14:textId="77777777" w:rsidR="00E66105"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393525BB" w14:textId="77777777" w:rsidR="00E66105" w:rsidRDefault="00000000">
            <w:pPr>
              <w:keepNext/>
              <w:keepLines/>
              <w:spacing w:after="0" w:line="240" w:lineRule="auto"/>
            </w:pPr>
            <w:r>
              <w:rPr>
                <w:sz w:val="18"/>
              </w:rPr>
              <w:t>P003</w:t>
            </w:r>
          </w:p>
        </w:tc>
        <w:tc>
          <w:tcPr>
            <w:tcW w:w="1860" w:type="dxa"/>
            <w:tcMar>
              <w:top w:w="0" w:type="dxa"/>
              <w:bottom w:w="0" w:type="dxa"/>
            </w:tcMar>
            <w:vAlign w:val="center"/>
          </w:tcPr>
          <w:p w14:paraId="46F547C8" w14:textId="77777777" w:rsidR="00E66105" w:rsidRDefault="00000000">
            <w:pPr>
              <w:keepNext/>
              <w:keepLines/>
              <w:spacing w:after="0" w:line="240" w:lineRule="auto"/>
              <w:jc w:val="right"/>
            </w:pPr>
            <w:r>
              <w:rPr>
                <w:sz w:val="18"/>
              </w:rPr>
              <w:t>0,00</w:t>
            </w:r>
          </w:p>
        </w:tc>
        <w:tc>
          <w:tcPr>
            <w:tcW w:w="1860" w:type="dxa"/>
            <w:tcMar>
              <w:top w:w="0" w:type="dxa"/>
              <w:bottom w:w="0" w:type="dxa"/>
            </w:tcMar>
            <w:vAlign w:val="center"/>
          </w:tcPr>
          <w:p w14:paraId="4ACF9D1F" w14:textId="77777777" w:rsidR="00E66105" w:rsidRDefault="00000000">
            <w:pPr>
              <w:keepNext/>
              <w:keepLines/>
              <w:spacing w:after="0" w:line="240" w:lineRule="auto"/>
              <w:jc w:val="right"/>
            </w:pPr>
            <w:r>
              <w:rPr>
                <w:sz w:val="18"/>
              </w:rPr>
              <w:t>756,81</w:t>
            </w:r>
          </w:p>
        </w:tc>
        <w:tc>
          <w:tcPr>
            <w:tcW w:w="700" w:type="dxa"/>
            <w:tcMar>
              <w:top w:w="0" w:type="dxa"/>
              <w:bottom w:w="0" w:type="dxa"/>
            </w:tcMar>
            <w:vAlign w:val="center"/>
          </w:tcPr>
          <w:p w14:paraId="19CB8375" w14:textId="77777777" w:rsidR="00E66105" w:rsidRDefault="00000000">
            <w:pPr>
              <w:keepNext/>
              <w:keepLines/>
              <w:spacing w:after="0" w:line="240" w:lineRule="auto"/>
              <w:jc w:val="right"/>
            </w:pPr>
            <w:r>
              <w:rPr>
                <w:sz w:val="18"/>
              </w:rPr>
              <w:t>-</w:t>
            </w:r>
          </w:p>
        </w:tc>
      </w:tr>
    </w:tbl>
    <w:p w14:paraId="3275F611" w14:textId="77777777" w:rsidR="00E66105" w:rsidRDefault="00E66105">
      <w:pPr>
        <w:spacing w:after="0"/>
      </w:pPr>
    </w:p>
    <w:p w14:paraId="726DC789" w14:textId="77777777" w:rsidR="00E66105" w:rsidRDefault="00000000">
      <w:r>
        <w:t>Prema modificiranom računovodstvenom načelu nastanku događaja, u proračunskom računovodstvu ne iskazuje se rashod amortizacije, već se provodi ispravak vrijednosti kojim se smanjuju vlastiti izvori iz proračuna na podskupini 911. Takva promjena utječe na smanjenje imovine bez priznavanja rashoda i prihoda te se prema novom Pravilniku ispravak vrijednosti dugotrajne nefinancijske imovine knjigovodstveno evidentira preko podskupine 915.</w:t>
      </w:r>
    </w:p>
    <w:p w14:paraId="788CB90B" w14:textId="77777777" w:rsidR="00E66105" w:rsidRDefault="00E66105"/>
    <w:p w14:paraId="49A3D8F3" w14:textId="77777777" w:rsidR="00E66105" w:rsidRDefault="00000000">
      <w:pPr>
        <w:keepNext/>
        <w:spacing w:line="240" w:lineRule="auto"/>
        <w:jc w:val="center"/>
      </w:pPr>
      <w:r>
        <w:rPr>
          <w:b/>
          <w:sz w:val="28"/>
        </w:rPr>
        <w:t>Izvještaj o obvezama</w:t>
      </w:r>
    </w:p>
    <w:p w14:paraId="2DC6C928" w14:textId="77777777" w:rsidR="00E66105"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66105" w14:paraId="68C462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1FC611"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FE5F67"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9EDB78"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565765" w14:textId="77777777" w:rsidR="00E661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639E7F" w14:textId="77777777" w:rsidR="00E66105" w:rsidRDefault="00000000">
            <w:pPr>
              <w:keepNext/>
              <w:keepLines/>
              <w:spacing w:after="0" w:line="240" w:lineRule="auto"/>
              <w:jc w:val="center"/>
            </w:pPr>
            <w:r>
              <w:rPr>
                <w:b/>
                <w:sz w:val="18"/>
              </w:rPr>
              <w:t>Indeks (%)</w:t>
            </w:r>
          </w:p>
        </w:tc>
      </w:tr>
      <w:tr w:rsidR="00E66105" w14:paraId="4E906569" w14:textId="77777777">
        <w:tblPrEx>
          <w:tblCellMar>
            <w:top w:w="0" w:type="dxa"/>
            <w:bottom w:w="0" w:type="dxa"/>
          </w:tblCellMar>
        </w:tblPrEx>
        <w:trPr>
          <w:cantSplit/>
          <w:trHeight w:val="560"/>
        </w:trPr>
        <w:tc>
          <w:tcPr>
            <w:tcW w:w="700" w:type="dxa"/>
            <w:tcMar>
              <w:top w:w="0" w:type="dxa"/>
              <w:bottom w:w="0" w:type="dxa"/>
            </w:tcMar>
            <w:vAlign w:val="center"/>
          </w:tcPr>
          <w:p w14:paraId="50F2667C" w14:textId="77777777" w:rsidR="00E66105" w:rsidRDefault="00E66105">
            <w:pPr>
              <w:keepNext/>
              <w:keepLines/>
              <w:spacing w:after="0" w:line="240" w:lineRule="auto"/>
            </w:pPr>
          </w:p>
        </w:tc>
        <w:tc>
          <w:tcPr>
            <w:tcW w:w="3180" w:type="dxa"/>
            <w:tcMar>
              <w:top w:w="0" w:type="dxa"/>
              <w:bottom w:w="0" w:type="dxa"/>
            </w:tcMar>
            <w:vAlign w:val="center"/>
          </w:tcPr>
          <w:p w14:paraId="7E52941C" w14:textId="77777777" w:rsidR="00E66105"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108FA0C" w14:textId="77777777" w:rsidR="00E66105" w:rsidRDefault="00000000">
            <w:pPr>
              <w:keepNext/>
              <w:keepLines/>
              <w:spacing w:after="0" w:line="240" w:lineRule="auto"/>
            </w:pPr>
            <w:r>
              <w:rPr>
                <w:sz w:val="18"/>
              </w:rPr>
              <w:t>V001</w:t>
            </w:r>
          </w:p>
        </w:tc>
        <w:tc>
          <w:tcPr>
            <w:tcW w:w="1860" w:type="dxa"/>
            <w:tcMar>
              <w:top w:w="0" w:type="dxa"/>
              <w:bottom w:w="0" w:type="dxa"/>
            </w:tcMar>
            <w:vAlign w:val="center"/>
          </w:tcPr>
          <w:p w14:paraId="106D6C37" w14:textId="77777777" w:rsidR="00E66105" w:rsidRDefault="00000000">
            <w:pPr>
              <w:keepNext/>
              <w:keepLines/>
              <w:spacing w:after="0" w:line="240" w:lineRule="auto"/>
              <w:jc w:val="right"/>
            </w:pPr>
            <w:r>
              <w:rPr>
                <w:sz w:val="18"/>
              </w:rPr>
              <w:t>44.250,45</w:t>
            </w:r>
          </w:p>
        </w:tc>
        <w:tc>
          <w:tcPr>
            <w:tcW w:w="700" w:type="dxa"/>
            <w:tcMar>
              <w:top w:w="0" w:type="dxa"/>
              <w:bottom w:w="0" w:type="dxa"/>
            </w:tcMar>
            <w:vAlign w:val="center"/>
          </w:tcPr>
          <w:p w14:paraId="50DD22E4" w14:textId="77777777" w:rsidR="00E66105" w:rsidRDefault="00000000">
            <w:pPr>
              <w:keepNext/>
              <w:keepLines/>
              <w:spacing w:after="0" w:line="240" w:lineRule="auto"/>
              <w:jc w:val="right"/>
            </w:pPr>
            <w:r>
              <w:rPr>
                <w:sz w:val="18"/>
              </w:rPr>
              <w:t>-</w:t>
            </w:r>
          </w:p>
        </w:tc>
      </w:tr>
    </w:tbl>
    <w:p w14:paraId="148F4C28" w14:textId="77777777" w:rsidR="00E66105" w:rsidRDefault="00E66105">
      <w:pPr>
        <w:spacing w:after="0"/>
      </w:pPr>
    </w:p>
    <w:p w14:paraId="58695A4B" w14:textId="77777777" w:rsidR="00E66105" w:rsidRDefault="00000000">
      <w:r>
        <w:t>Stanje obveza na dan 1. siječnja 2025. godine (šifra V001) predstavlja nepodmirene obveze iz prethodne proračunske godine koje su prenesene u 2025. godinu. Obrazac Obveze sadrži podatke o obvezama za razdoblje od 1. siječnja do 31. prosinca 2025. godine.</w:t>
      </w:r>
    </w:p>
    <w:p w14:paraId="5CB9DF30" w14:textId="77777777" w:rsidR="00E66105" w:rsidRDefault="00000000">
      <w:r>
        <w:t>Ukupne obveze Dječjeg vrtića „Bubamara“ na dan 1. siječnja 2025. godine iznosile su 44.250,45 EUR (šifra V001).</w:t>
      </w:r>
    </w:p>
    <w:p w14:paraId="61B41C83" w14:textId="77777777" w:rsidR="00E66105" w:rsidRDefault="00E66105"/>
    <w:p w14:paraId="55B6B2E4" w14:textId="77777777" w:rsidR="00E66105"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66105" w14:paraId="148603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F9C4D8"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018182"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D25FC5"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B0F90A" w14:textId="77777777" w:rsidR="00E661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A4E9A65" w14:textId="77777777" w:rsidR="00E66105" w:rsidRDefault="00000000">
            <w:pPr>
              <w:keepNext/>
              <w:keepLines/>
              <w:spacing w:after="0" w:line="240" w:lineRule="auto"/>
              <w:jc w:val="center"/>
            </w:pPr>
            <w:r>
              <w:rPr>
                <w:b/>
                <w:sz w:val="18"/>
              </w:rPr>
              <w:t>Indeks (%)</w:t>
            </w:r>
          </w:p>
        </w:tc>
      </w:tr>
      <w:tr w:rsidR="00E66105" w14:paraId="3CB23B0D" w14:textId="77777777">
        <w:tblPrEx>
          <w:tblCellMar>
            <w:top w:w="0" w:type="dxa"/>
            <w:bottom w:w="0" w:type="dxa"/>
          </w:tblCellMar>
        </w:tblPrEx>
        <w:trPr>
          <w:cantSplit/>
          <w:trHeight w:val="560"/>
        </w:trPr>
        <w:tc>
          <w:tcPr>
            <w:tcW w:w="700" w:type="dxa"/>
            <w:tcMar>
              <w:top w:w="0" w:type="dxa"/>
              <w:bottom w:w="0" w:type="dxa"/>
            </w:tcMar>
            <w:vAlign w:val="center"/>
          </w:tcPr>
          <w:p w14:paraId="74419BDE" w14:textId="77777777" w:rsidR="00E66105" w:rsidRDefault="00E66105">
            <w:pPr>
              <w:keepNext/>
              <w:keepLines/>
              <w:spacing w:after="0" w:line="240" w:lineRule="auto"/>
            </w:pPr>
          </w:p>
        </w:tc>
        <w:tc>
          <w:tcPr>
            <w:tcW w:w="3180" w:type="dxa"/>
            <w:tcMar>
              <w:top w:w="0" w:type="dxa"/>
              <w:bottom w:w="0" w:type="dxa"/>
            </w:tcMar>
            <w:vAlign w:val="center"/>
          </w:tcPr>
          <w:p w14:paraId="14058757" w14:textId="77777777" w:rsidR="00E66105"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3325D977" w14:textId="77777777" w:rsidR="00E66105" w:rsidRDefault="00000000">
            <w:pPr>
              <w:keepNext/>
              <w:keepLines/>
              <w:spacing w:after="0" w:line="240" w:lineRule="auto"/>
            </w:pPr>
            <w:r>
              <w:rPr>
                <w:sz w:val="18"/>
              </w:rPr>
              <w:t>V002</w:t>
            </w:r>
          </w:p>
        </w:tc>
        <w:tc>
          <w:tcPr>
            <w:tcW w:w="1860" w:type="dxa"/>
            <w:tcMar>
              <w:top w:w="0" w:type="dxa"/>
              <w:bottom w:w="0" w:type="dxa"/>
            </w:tcMar>
            <w:vAlign w:val="center"/>
          </w:tcPr>
          <w:p w14:paraId="4E14814C" w14:textId="77777777" w:rsidR="00E66105" w:rsidRDefault="00000000">
            <w:pPr>
              <w:keepNext/>
              <w:keepLines/>
              <w:spacing w:after="0" w:line="240" w:lineRule="auto"/>
              <w:jc w:val="right"/>
            </w:pPr>
            <w:r>
              <w:rPr>
                <w:sz w:val="18"/>
              </w:rPr>
              <w:t>554.348,89</w:t>
            </w:r>
          </w:p>
        </w:tc>
        <w:tc>
          <w:tcPr>
            <w:tcW w:w="700" w:type="dxa"/>
            <w:tcMar>
              <w:top w:w="0" w:type="dxa"/>
              <w:bottom w:w="0" w:type="dxa"/>
            </w:tcMar>
            <w:vAlign w:val="center"/>
          </w:tcPr>
          <w:p w14:paraId="03B11D00" w14:textId="77777777" w:rsidR="00E66105" w:rsidRDefault="00000000">
            <w:pPr>
              <w:keepNext/>
              <w:keepLines/>
              <w:spacing w:after="0" w:line="240" w:lineRule="auto"/>
              <w:jc w:val="right"/>
            </w:pPr>
            <w:r>
              <w:rPr>
                <w:sz w:val="18"/>
              </w:rPr>
              <w:t>-</w:t>
            </w:r>
          </w:p>
        </w:tc>
      </w:tr>
    </w:tbl>
    <w:p w14:paraId="1C904874" w14:textId="77777777" w:rsidR="00E66105" w:rsidRDefault="00E66105">
      <w:pPr>
        <w:spacing w:after="0"/>
      </w:pPr>
    </w:p>
    <w:p w14:paraId="66383EBD" w14:textId="77777777" w:rsidR="00E66105" w:rsidRDefault="00000000">
      <w:r>
        <w:t>Povećanje obveza u izvještajnom razdoblju iznosi 554.348,89 EUR (šifra V002).</w:t>
      </w:r>
    </w:p>
    <w:p w14:paraId="16CBC622" w14:textId="77777777" w:rsidR="00E66105" w:rsidRDefault="00000000">
      <w:r>
        <w:t>Obveze za rashode poslovanja (23) povećane su za 546.117,89 EUR.</w:t>
      </w:r>
    </w:p>
    <w:p w14:paraId="227CC84A" w14:textId="77777777" w:rsidR="00E66105" w:rsidRDefault="00000000">
      <w:r>
        <w:t>Obveze za predujmove, depozite, jamčevne pologe i tuđe prihode (27) povećane su za 5.262,97 EUR.</w:t>
      </w:r>
    </w:p>
    <w:p w14:paraId="281C92BB" w14:textId="77777777" w:rsidR="00E66105" w:rsidRDefault="00000000">
      <w:r>
        <w:lastRenderedPageBreak/>
        <w:t>Obveze za nabavu nefinancijske imovine nisu ostvarene.</w:t>
      </w:r>
    </w:p>
    <w:p w14:paraId="6B35CD39" w14:textId="77777777" w:rsidR="00E66105" w:rsidRDefault="00E66105"/>
    <w:p w14:paraId="0A0EF3E1" w14:textId="77777777" w:rsidR="00E66105"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66105" w14:paraId="73925B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AEAF10"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7EFF16"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0CB5A7"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A18629" w14:textId="77777777" w:rsidR="00E661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6A4991B" w14:textId="77777777" w:rsidR="00E66105" w:rsidRDefault="00000000">
            <w:pPr>
              <w:keepNext/>
              <w:keepLines/>
              <w:spacing w:after="0" w:line="240" w:lineRule="auto"/>
              <w:jc w:val="center"/>
            </w:pPr>
            <w:r>
              <w:rPr>
                <w:b/>
                <w:sz w:val="18"/>
              </w:rPr>
              <w:t>Indeks (%)</w:t>
            </w:r>
          </w:p>
        </w:tc>
      </w:tr>
      <w:tr w:rsidR="00E66105" w14:paraId="41E30E46" w14:textId="77777777">
        <w:tblPrEx>
          <w:tblCellMar>
            <w:top w:w="0" w:type="dxa"/>
            <w:bottom w:w="0" w:type="dxa"/>
          </w:tblCellMar>
        </w:tblPrEx>
        <w:trPr>
          <w:cantSplit/>
          <w:trHeight w:val="560"/>
        </w:trPr>
        <w:tc>
          <w:tcPr>
            <w:tcW w:w="700" w:type="dxa"/>
            <w:tcMar>
              <w:top w:w="0" w:type="dxa"/>
              <w:bottom w:w="0" w:type="dxa"/>
            </w:tcMar>
            <w:vAlign w:val="center"/>
          </w:tcPr>
          <w:p w14:paraId="50DA9921" w14:textId="77777777" w:rsidR="00E66105" w:rsidRDefault="00E66105">
            <w:pPr>
              <w:keepNext/>
              <w:keepLines/>
              <w:spacing w:after="0" w:line="240" w:lineRule="auto"/>
            </w:pPr>
          </w:p>
        </w:tc>
        <w:tc>
          <w:tcPr>
            <w:tcW w:w="3180" w:type="dxa"/>
            <w:tcMar>
              <w:top w:w="0" w:type="dxa"/>
              <w:bottom w:w="0" w:type="dxa"/>
            </w:tcMar>
            <w:vAlign w:val="center"/>
          </w:tcPr>
          <w:p w14:paraId="6D316638" w14:textId="77777777" w:rsidR="00E66105"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1B2B6D61" w14:textId="77777777" w:rsidR="00E66105" w:rsidRDefault="00000000">
            <w:pPr>
              <w:keepNext/>
              <w:keepLines/>
              <w:spacing w:after="0" w:line="240" w:lineRule="auto"/>
            </w:pPr>
            <w:r>
              <w:rPr>
                <w:sz w:val="18"/>
              </w:rPr>
              <w:t>V004</w:t>
            </w:r>
          </w:p>
        </w:tc>
        <w:tc>
          <w:tcPr>
            <w:tcW w:w="1860" w:type="dxa"/>
            <w:tcMar>
              <w:top w:w="0" w:type="dxa"/>
              <w:bottom w:w="0" w:type="dxa"/>
            </w:tcMar>
            <w:vAlign w:val="center"/>
          </w:tcPr>
          <w:p w14:paraId="6C0FDF9A" w14:textId="77777777" w:rsidR="00E66105" w:rsidRDefault="00000000">
            <w:pPr>
              <w:keepNext/>
              <w:keepLines/>
              <w:spacing w:after="0" w:line="240" w:lineRule="auto"/>
              <w:jc w:val="right"/>
            </w:pPr>
            <w:r>
              <w:rPr>
                <w:sz w:val="18"/>
              </w:rPr>
              <w:t>537.964,50</w:t>
            </w:r>
          </w:p>
        </w:tc>
        <w:tc>
          <w:tcPr>
            <w:tcW w:w="700" w:type="dxa"/>
            <w:tcMar>
              <w:top w:w="0" w:type="dxa"/>
              <w:bottom w:w="0" w:type="dxa"/>
            </w:tcMar>
            <w:vAlign w:val="center"/>
          </w:tcPr>
          <w:p w14:paraId="38020E15" w14:textId="77777777" w:rsidR="00E66105" w:rsidRDefault="00000000">
            <w:pPr>
              <w:keepNext/>
              <w:keepLines/>
              <w:spacing w:after="0" w:line="240" w:lineRule="auto"/>
              <w:jc w:val="right"/>
            </w:pPr>
            <w:r>
              <w:rPr>
                <w:sz w:val="18"/>
              </w:rPr>
              <w:t>-</w:t>
            </w:r>
          </w:p>
        </w:tc>
      </w:tr>
    </w:tbl>
    <w:p w14:paraId="3EA77AAE" w14:textId="77777777" w:rsidR="00E66105" w:rsidRDefault="00E66105">
      <w:pPr>
        <w:spacing w:after="0"/>
      </w:pPr>
    </w:p>
    <w:p w14:paraId="3A1A4A97" w14:textId="77777777" w:rsidR="00E66105" w:rsidRDefault="00000000">
      <w:r>
        <w:t>Podmirene obveze u izvještajnom razdoblju ostvarene su u iznosu od 537.964,50 EUR, te se odnose na obveze za rashode poslovanja.</w:t>
      </w:r>
    </w:p>
    <w:p w14:paraId="1DAC537B" w14:textId="77777777" w:rsidR="00E66105" w:rsidRDefault="00E66105"/>
    <w:p w14:paraId="770B5A3D" w14:textId="77777777" w:rsidR="00E66105"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66105" w14:paraId="51684F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91DE15"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019249"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5DF60"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672C16" w14:textId="77777777" w:rsidR="00E661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13030A" w14:textId="77777777" w:rsidR="00E66105" w:rsidRDefault="00000000">
            <w:pPr>
              <w:keepNext/>
              <w:keepLines/>
              <w:spacing w:after="0" w:line="240" w:lineRule="auto"/>
              <w:jc w:val="center"/>
            </w:pPr>
            <w:r>
              <w:rPr>
                <w:b/>
                <w:sz w:val="18"/>
              </w:rPr>
              <w:t>Indeks (%)</w:t>
            </w:r>
          </w:p>
        </w:tc>
      </w:tr>
      <w:tr w:rsidR="00E66105" w14:paraId="5368C6F0" w14:textId="77777777">
        <w:tblPrEx>
          <w:tblCellMar>
            <w:top w:w="0" w:type="dxa"/>
            <w:bottom w:w="0" w:type="dxa"/>
          </w:tblCellMar>
        </w:tblPrEx>
        <w:trPr>
          <w:cantSplit/>
          <w:trHeight w:val="560"/>
        </w:trPr>
        <w:tc>
          <w:tcPr>
            <w:tcW w:w="700" w:type="dxa"/>
            <w:tcMar>
              <w:top w:w="0" w:type="dxa"/>
              <w:bottom w:w="0" w:type="dxa"/>
            </w:tcMar>
            <w:vAlign w:val="center"/>
          </w:tcPr>
          <w:p w14:paraId="29B35D0D" w14:textId="77777777" w:rsidR="00E66105" w:rsidRDefault="00E66105">
            <w:pPr>
              <w:keepNext/>
              <w:keepLines/>
              <w:spacing w:after="0" w:line="240" w:lineRule="auto"/>
            </w:pPr>
          </w:p>
        </w:tc>
        <w:tc>
          <w:tcPr>
            <w:tcW w:w="3180" w:type="dxa"/>
            <w:tcMar>
              <w:top w:w="0" w:type="dxa"/>
              <w:bottom w:w="0" w:type="dxa"/>
            </w:tcMar>
            <w:vAlign w:val="center"/>
          </w:tcPr>
          <w:p w14:paraId="610594E3" w14:textId="77777777" w:rsidR="00E66105"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E2DA826" w14:textId="77777777" w:rsidR="00E66105" w:rsidRDefault="00000000">
            <w:pPr>
              <w:keepNext/>
              <w:keepLines/>
              <w:spacing w:after="0" w:line="240" w:lineRule="auto"/>
            </w:pPr>
            <w:r>
              <w:rPr>
                <w:sz w:val="18"/>
              </w:rPr>
              <w:t>V006</w:t>
            </w:r>
          </w:p>
        </w:tc>
        <w:tc>
          <w:tcPr>
            <w:tcW w:w="1860" w:type="dxa"/>
            <w:tcMar>
              <w:top w:w="0" w:type="dxa"/>
              <w:bottom w:w="0" w:type="dxa"/>
            </w:tcMar>
            <w:vAlign w:val="center"/>
          </w:tcPr>
          <w:p w14:paraId="289891EC" w14:textId="77777777" w:rsidR="00E66105" w:rsidRDefault="00000000">
            <w:pPr>
              <w:keepNext/>
              <w:keepLines/>
              <w:spacing w:after="0" w:line="240" w:lineRule="auto"/>
              <w:jc w:val="right"/>
            </w:pPr>
            <w:r>
              <w:rPr>
                <w:sz w:val="18"/>
              </w:rPr>
              <w:t>60.634,84</w:t>
            </w:r>
          </w:p>
        </w:tc>
        <w:tc>
          <w:tcPr>
            <w:tcW w:w="700" w:type="dxa"/>
            <w:tcMar>
              <w:top w:w="0" w:type="dxa"/>
              <w:bottom w:w="0" w:type="dxa"/>
            </w:tcMar>
            <w:vAlign w:val="center"/>
          </w:tcPr>
          <w:p w14:paraId="0022D598" w14:textId="77777777" w:rsidR="00E66105" w:rsidRDefault="00000000">
            <w:pPr>
              <w:keepNext/>
              <w:keepLines/>
              <w:spacing w:after="0" w:line="240" w:lineRule="auto"/>
              <w:jc w:val="right"/>
            </w:pPr>
            <w:r>
              <w:rPr>
                <w:sz w:val="18"/>
              </w:rPr>
              <w:t>-</w:t>
            </w:r>
          </w:p>
        </w:tc>
      </w:tr>
    </w:tbl>
    <w:p w14:paraId="75A4D128" w14:textId="77777777" w:rsidR="00E66105" w:rsidRDefault="00E66105">
      <w:pPr>
        <w:spacing w:after="0"/>
      </w:pPr>
    </w:p>
    <w:p w14:paraId="4EF8F04E" w14:textId="77777777" w:rsidR="00E66105" w:rsidRDefault="00000000">
      <w:r>
        <w:t>Stanje obveza na dan 31. prosinca 2025. godine iznosi 60.634,84 EUR.</w:t>
      </w:r>
    </w:p>
    <w:p w14:paraId="3F27B515" w14:textId="77777777" w:rsidR="00E66105" w:rsidRDefault="00E66105"/>
    <w:p w14:paraId="715AAAD0" w14:textId="77777777" w:rsidR="00E66105"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66105" w14:paraId="2CA01E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57D2A4"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38B8C4"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151336"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8F00EB" w14:textId="77777777" w:rsidR="00E661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230C6B" w14:textId="77777777" w:rsidR="00E66105" w:rsidRDefault="00000000">
            <w:pPr>
              <w:keepNext/>
              <w:keepLines/>
              <w:spacing w:after="0" w:line="240" w:lineRule="auto"/>
              <w:jc w:val="center"/>
            </w:pPr>
            <w:r>
              <w:rPr>
                <w:b/>
                <w:sz w:val="18"/>
              </w:rPr>
              <w:t>Indeks (%)</w:t>
            </w:r>
          </w:p>
        </w:tc>
      </w:tr>
      <w:tr w:rsidR="00E66105" w14:paraId="153505C3" w14:textId="77777777">
        <w:tblPrEx>
          <w:tblCellMar>
            <w:top w:w="0" w:type="dxa"/>
            <w:bottom w:w="0" w:type="dxa"/>
          </w:tblCellMar>
        </w:tblPrEx>
        <w:trPr>
          <w:cantSplit/>
          <w:trHeight w:val="560"/>
        </w:trPr>
        <w:tc>
          <w:tcPr>
            <w:tcW w:w="700" w:type="dxa"/>
            <w:tcMar>
              <w:top w:w="0" w:type="dxa"/>
              <w:bottom w:w="0" w:type="dxa"/>
            </w:tcMar>
            <w:vAlign w:val="center"/>
          </w:tcPr>
          <w:p w14:paraId="15C17546" w14:textId="77777777" w:rsidR="00E66105" w:rsidRDefault="00E66105">
            <w:pPr>
              <w:keepNext/>
              <w:keepLines/>
              <w:spacing w:after="0" w:line="240" w:lineRule="auto"/>
            </w:pPr>
          </w:p>
        </w:tc>
        <w:tc>
          <w:tcPr>
            <w:tcW w:w="3180" w:type="dxa"/>
            <w:tcMar>
              <w:top w:w="0" w:type="dxa"/>
              <w:bottom w:w="0" w:type="dxa"/>
            </w:tcMar>
            <w:vAlign w:val="center"/>
          </w:tcPr>
          <w:p w14:paraId="39BCB4AE" w14:textId="77777777" w:rsidR="00E6610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76C3E2C" w14:textId="77777777" w:rsidR="00E66105" w:rsidRDefault="00000000">
            <w:pPr>
              <w:keepNext/>
              <w:keepLines/>
              <w:spacing w:after="0" w:line="240" w:lineRule="auto"/>
            </w:pPr>
            <w:r>
              <w:rPr>
                <w:sz w:val="18"/>
              </w:rPr>
              <w:t>V007</w:t>
            </w:r>
          </w:p>
        </w:tc>
        <w:tc>
          <w:tcPr>
            <w:tcW w:w="1860" w:type="dxa"/>
            <w:tcMar>
              <w:top w:w="0" w:type="dxa"/>
              <w:bottom w:w="0" w:type="dxa"/>
            </w:tcMar>
            <w:vAlign w:val="center"/>
          </w:tcPr>
          <w:p w14:paraId="2E99D1FC" w14:textId="77777777" w:rsidR="00E66105" w:rsidRDefault="00000000">
            <w:pPr>
              <w:keepNext/>
              <w:keepLines/>
              <w:spacing w:after="0" w:line="240" w:lineRule="auto"/>
              <w:jc w:val="right"/>
            </w:pPr>
            <w:r>
              <w:rPr>
                <w:sz w:val="18"/>
              </w:rPr>
              <w:t>0,00</w:t>
            </w:r>
          </w:p>
        </w:tc>
        <w:tc>
          <w:tcPr>
            <w:tcW w:w="700" w:type="dxa"/>
            <w:tcMar>
              <w:top w:w="0" w:type="dxa"/>
              <w:bottom w:w="0" w:type="dxa"/>
            </w:tcMar>
            <w:vAlign w:val="center"/>
          </w:tcPr>
          <w:p w14:paraId="5E198CA2" w14:textId="77777777" w:rsidR="00E66105" w:rsidRDefault="00000000">
            <w:pPr>
              <w:keepNext/>
              <w:keepLines/>
              <w:spacing w:after="0" w:line="240" w:lineRule="auto"/>
              <w:jc w:val="right"/>
            </w:pPr>
            <w:r>
              <w:rPr>
                <w:sz w:val="18"/>
              </w:rPr>
              <w:t>-</w:t>
            </w:r>
          </w:p>
        </w:tc>
      </w:tr>
    </w:tbl>
    <w:p w14:paraId="2E2AB453" w14:textId="77777777" w:rsidR="00E66105" w:rsidRDefault="00E66105">
      <w:pPr>
        <w:spacing w:after="0"/>
      </w:pPr>
    </w:p>
    <w:p w14:paraId="3754AD9E" w14:textId="77777777" w:rsidR="00E66105" w:rsidRDefault="00000000">
      <w:r>
        <w:t>Na dan 31.12.2025. dječji vrtić nema dospjelih obveza.</w:t>
      </w:r>
    </w:p>
    <w:p w14:paraId="46955B98" w14:textId="77777777" w:rsidR="00E66105" w:rsidRDefault="00E66105"/>
    <w:p w14:paraId="6AE79DD9" w14:textId="77777777" w:rsidR="00E66105"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66105" w14:paraId="7938DB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9F808C" w14:textId="77777777" w:rsidR="00E6610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13584B" w14:textId="77777777" w:rsidR="00E6610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2F227E" w14:textId="77777777" w:rsidR="00E6610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4B0F2B" w14:textId="77777777" w:rsidR="00E6610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E91C4D4" w14:textId="77777777" w:rsidR="00E66105" w:rsidRDefault="00000000">
            <w:pPr>
              <w:keepNext/>
              <w:keepLines/>
              <w:spacing w:after="0" w:line="240" w:lineRule="auto"/>
              <w:jc w:val="center"/>
            </w:pPr>
            <w:r>
              <w:rPr>
                <w:b/>
                <w:sz w:val="18"/>
              </w:rPr>
              <w:t>Indeks (%)</w:t>
            </w:r>
          </w:p>
        </w:tc>
      </w:tr>
      <w:tr w:rsidR="00E66105" w14:paraId="1021504A" w14:textId="77777777">
        <w:tblPrEx>
          <w:tblCellMar>
            <w:top w:w="0" w:type="dxa"/>
            <w:bottom w:w="0" w:type="dxa"/>
          </w:tblCellMar>
        </w:tblPrEx>
        <w:trPr>
          <w:cantSplit/>
          <w:trHeight w:val="560"/>
        </w:trPr>
        <w:tc>
          <w:tcPr>
            <w:tcW w:w="700" w:type="dxa"/>
            <w:tcMar>
              <w:top w:w="0" w:type="dxa"/>
              <w:bottom w:w="0" w:type="dxa"/>
            </w:tcMar>
            <w:vAlign w:val="center"/>
          </w:tcPr>
          <w:p w14:paraId="154B5E3B" w14:textId="77777777" w:rsidR="00E66105" w:rsidRDefault="00E66105">
            <w:pPr>
              <w:keepNext/>
              <w:keepLines/>
              <w:spacing w:after="0" w:line="240" w:lineRule="auto"/>
            </w:pPr>
          </w:p>
        </w:tc>
        <w:tc>
          <w:tcPr>
            <w:tcW w:w="3180" w:type="dxa"/>
            <w:tcMar>
              <w:top w:w="0" w:type="dxa"/>
              <w:bottom w:w="0" w:type="dxa"/>
            </w:tcMar>
            <w:vAlign w:val="center"/>
          </w:tcPr>
          <w:p w14:paraId="076AC54B" w14:textId="77777777" w:rsidR="00E66105"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61F8924" w14:textId="77777777" w:rsidR="00E66105" w:rsidRDefault="00000000">
            <w:pPr>
              <w:keepNext/>
              <w:keepLines/>
              <w:spacing w:after="0" w:line="240" w:lineRule="auto"/>
            </w:pPr>
            <w:r>
              <w:rPr>
                <w:sz w:val="18"/>
              </w:rPr>
              <w:t>V009</w:t>
            </w:r>
          </w:p>
        </w:tc>
        <w:tc>
          <w:tcPr>
            <w:tcW w:w="1860" w:type="dxa"/>
            <w:tcMar>
              <w:top w:w="0" w:type="dxa"/>
              <w:bottom w:w="0" w:type="dxa"/>
            </w:tcMar>
            <w:vAlign w:val="center"/>
          </w:tcPr>
          <w:p w14:paraId="22DCFB14" w14:textId="77777777" w:rsidR="00E66105" w:rsidRDefault="00000000">
            <w:pPr>
              <w:keepNext/>
              <w:keepLines/>
              <w:spacing w:after="0" w:line="240" w:lineRule="auto"/>
              <w:jc w:val="right"/>
            </w:pPr>
            <w:r>
              <w:rPr>
                <w:sz w:val="18"/>
              </w:rPr>
              <w:t>60.634,84</w:t>
            </w:r>
          </w:p>
        </w:tc>
        <w:tc>
          <w:tcPr>
            <w:tcW w:w="700" w:type="dxa"/>
            <w:tcMar>
              <w:top w:w="0" w:type="dxa"/>
              <w:bottom w:w="0" w:type="dxa"/>
            </w:tcMar>
            <w:vAlign w:val="center"/>
          </w:tcPr>
          <w:p w14:paraId="1298EF4E" w14:textId="77777777" w:rsidR="00E66105" w:rsidRDefault="00000000">
            <w:pPr>
              <w:keepNext/>
              <w:keepLines/>
              <w:spacing w:after="0" w:line="240" w:lineRule="auto"/>
              <w:jc w:val="right"/>
            </w:pPr>
            <w:r>
              <w:rPr>
                <w:sz w:val="18"/>
              </w:rPr>
              <w:t>-</w:t>
            </w:r>
          </w:p>
        </w:tc>
      </w:tr>
    </w:tbl>
    <w:p w14:paraId="6911EF43" w14:textId="77777777" w:rsidR="00E66105" w:rsidRDefault="00E66105">
      <w:pPr>
        <w:spacing w:after="0"/>
      </w:pPr>
    </w:p>
    <w:p w14:paraId="7014C902" w14:textId="77777777" w:rsidR="00E66105" w:rsidRDefault="00000000">
      <w:r>
        <w:t>Stanje nedospjelih obveza na kraju izvještajnog razdoblja iznosi 60.634,84 EUR (V009) odnosi se na:</w:t>
      </w:r>
    </w:p>
    <w:p w14:paraId="6870529A" w14:textId="77777777" w:rsidR="00E66105" w:rsidRDefault="00000000">
      <w:pPr>
        <w:pStyle w:val="Odlomakpopisa"/>
        <w:numPr>
          <w:ilvl w:val="0"/>
          <w:numId w:val="1"/>
        </w:numPr>
      </w:pPr>
      <w:r>
        <w:t>obveze za rashode poslovanja (šifra ND23) u iznosu od 47.463,86 EUR.</w:t>
      </w:r>
    </w:p>
    <w:p w14:paraId="381DC7F8" w14:textId="77777777" w:rsidR="00E66105" w:rsidRDefault="00000000">
      <w:pPr>
        <w:pStyle w:val="Odlomakpopisa"/>
        <w:numPr>
          <w:ilvl w:val="0"/>
          <w:numId w:val="1"/>
        </w:numPr>
      </w:pPr>
      <w:r>
        <w:t>obveze za predujmove,depozite,jamčevne pologe i tuđe prihode u iznosu od 13.170,98 EUR.</w:t>
      </w:r>
    </w:p>
    <w:p w14:paraId="698D4FC1" w14:textId="77777777" w:rsidR="00E66105" w:rsidRDefault="00000000">
      <w:r>
        <w:t>Dječji vrtić „Bubamara“ na dan 31. prosinca 2025. godine nema obveza za nabavu nefinancijske imovine (šifra ND24) i obveza za financijsku imovinu (šifra ND dio 25,26).</w:t>
      </w:r>
    </w:p>
    <w:p w14:paraId="6D399712" w14:textId="77777777" w:rsidR="00E66105" w:rsidRDefault="00E66105"/>
    <w:sectPr w:rsidR="00E66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6433"/>
    <w:multiLevelType w:val="hybridMultilevel"/>
    <w:tmpl w:val="42BA6544"/>
    <w:name w:val="disc"/>
    <w:lvl w:ilvl="0" w:tplc="7CF8D268">
      <w:start w:val="1"/>
      <w:numFmt w:val="bullet"/>
      <w:lvlText w:val="•"/>
      <w:lvlJc w:val="left"/>
      <w:pPr>
        <w:ind w:left="720" w:hanging="360"/>
      </w:pPr>
    </w:lvl>
    <w:lvl w:ilvl="1" w:tplc="648809F4">
      <w:start w:val="1"/>
      <w:numFmt w:val="bullet"/>
      <w:lvlText w:val="•"/>
      <w:lvlJc w:val="left"/>
      <w:pPr>
        <w:ind w:left="1440" w:hanging="360"/>
      </w:pPr>
    </w:lvl>
    <w:lvl w:ilvl="2" w:tplc="4210CA9E">
      <w:start w:val="1"/>
      <w:numFmt w:val="bullet"/>
      <w:lvlText w:val="•"/>
      <w:lvlJc w:val="left"/>
      <w:pPr>
        <w:ind w:left="2160" w:hanging="360"/>
      </w:pPr>
    </w:lvl>
    <w:lvl w:ilvl="3" w:tplc="C86EC1DC">
      <w:start w:val="1"/>
      <w:numFmt w:val="bullet"/>
      <w:lvlText w:val="•"/>
      <w:lvlJc w:val="left"/>
      <w:pPr>
        <w:ind w:left="2880" w:hanging="360"/>
      </w:pPr>
    </w:lvl>
    <w:lvl w:ilvl="4" w:tplc="A6E0601A">
      <w:start w:val="1"/>
      <w:numFmt w:val="bullet"/>
      <w:lvlText w:val="•"/>
      <w:lvlJc w:val="left"/>
      <w:pPr>
        <w:ind w:left="3600" w:hanging="360"/>
      </w:pPr>
    </w:lvl>
    <w:lvl w:ilvl="5" w:tplc="4ABA3AC0">
      <w:start w:val="1"/>
      <w:numFmt w:val="bullet"/>
      <w:lvlText w:val="•"/>
      <w:lvlJc w:val="left"/>
      <w:pPr>
        <w:ind w:left="4320" w:hanging="360"/>
      </w:pPr>
    </w:lvl>
    <w:lvl w:ilvl="6" w:tplc="35766556">
      <w:start w:val="1"/>
      <w:numFmt w:val="bullet"/>
      <w:lvlText w:val="•"/>
      <w:lvlJc w:val="left"/>
      <w:pPr>
        <w:ind w:left="5040" w:hanging="360"/>
      </w:pPr>
    </w:lvl>
    <w:lvl w:ilvl="7" w:tplc="F1EEDAD2">
      <w:start w:val="1"/>
      <w:numFmt w:val="bullet"/>
      <w:lvlText w:val="•"/>
      <w:lvlJc w:val="left"/>
      <w:pPr>
        <w:ind w:left="5760" w:hanging="360"/>
      </w:pPr>
    </w:lvl>
    <w:lvl w:ilvl="8" w:tplc="4CB088E8">
      <w:start w:val="1"/>
      <w:numFmt w:val="bullet"/>
      <w:lvlText w:val="•"/>
      <w:lvlJc w:val="left"/>
      <w:pPr>
        <w:ind w:left="6480" w:hanging="360"/>
      </w:pPr>
    </w:lvl>
  </w:abstractNum>
  <w:num w:numId="1" w16cid:durableId="3353778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05"/>
    <w:rsid w:val="001B3C81"/>
    <w:rsid w:val="005446AA"/>
    <w:rsid w:val="00E661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6C3D"/>
  <w15:docId w15:val="{7B29353E-94E3-4EA3-9FC1-1FE0020E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3498</Words>
  <Characters>19941</Characters>
  <Application>Microsoft Office Word</Application>
  <DocSecurity>0</DocSecurity>
  <Lines>166</Lines>
  <Paragraphs>46</Paragraphs>
  <ScaleCrop>false</ScaleCrop>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Vinus</dc:creator>
  <cp:lastModifiedBy>Vinus</cp:lastModifiedBy>
  <cp:revision>2</cp:revision>
  <dcterms:created xsi:type="dcterms:W3CDTF">2026-01-29T15:17:00Z</dcterms:created>
  <dcterms:modified xsi:type="dcterms:W3CDTF">2026-01-29T15:17:00Z</dcterms:modified>
</cp:coreProperties>
</file>